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59020" w14:textId="1C43DE79" w:rsidR="008447B4" w:rsidRPr="00732429" w:rsidRDefault="005C17A4" w:rsidP="00984037">
      <w:pPr>
        <w:pStyle w:val="Default"/>
        <w:rPr>
          <w:rFonts w:asciiTheme="majorHAnsi" w:hAnsiTheme="majorHAnsi" w:cstheme="majorHAnsi"/>
          <w:sz w:val="48"/>
          <w:szCs w:val="48"/>
        </w:rPr>
      </w:pPr>
      <w:r w:rsidRPr="00732429">
        <w:rPr>
          <w:noProof/>
          <w:sz w:val="48"/>
          <w:szCs w:val="48"/>
        </w:rPr>
        <w:drawing>
          <wp:anchor distT="0" distB="0" distL="114300" distR="114300" simplePos="0" relativeHeight="251659264" behindDoc="1" locked="0" layoutInCell="1" allowOverlap="1" wp14:anchorId="49B89A92" wp14:editId="36FB32A5">
            <wp:simplePos x="0" y="0"/>
            <wp:positionH relativeFrom="column">
              <wp:posOffset>4519295</wp:posOffset>
            </wp:positionH>
            <wp:positionV relativeFrom="paragraph">
              <wp:posOffset>0</wp:posOffset>
            </wp:positionV>
            <wp:extent cx="1294765" cy="1278890"/>
            <wp:effectExtent l="0" t="0" r="635" b="0"/>
            <wp:wrapTight wrapText="bothSides">
              <wp:wrapPolygon edited="0">
                <wp:start x="0" y="0"/>
                <wp:lineTo x="0" y="21235"/>
                <wp:lineTo x="21293" y="21235"/>
                <wp:lineTo x="21293" y="0"/>
                <wp:lineTo x="0" y="0"/>
              </wp:wrapPolygon>
            </wp:wrapTight>
            <wp:docPr id="2" name="Picture 2" descr="A picture containing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or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4765" cy="1278890"/>
                    </a:xfrm>
                    <a:prstGeom prst="rect">
                      <a:avLst/>
                    </a:prstGeom>
                  </pic:spPr>
                </pic:pic>
              </a:graphicData>
            </a:graphic>
            <wp14:sizeRelH relativeFrom="margin">
              <wp14:pctWidth>0</wp14:pctWidth>
            </wp14:sizeRelH>
            <wp14:sizeRelV relativeFrom="margin">
              <wp14:pctHeight>0</wp14:pctHeight>
            </wp14:sizeRelV>
          </wp:anchor>
        </w:drawing>
      </w:r>
      <w:r w:rsidR="008447B4" w:rsidRPr="00732429">
        <w:rPr>
          <w:rFonts w:asciiTheme="majorHAnsi" w:hAnsiTheme="majorHAnsi" w:cstheme="majorHAnsi"/>
          <w:sz w:val="48"/>
          <w:szCs w:val="48"/>
        </w:rPr>
        <w:t>Rural Community Opioid Response Program-East Tennessee Consortium (RCORP-ETC) Meeting Evaluation</w:t>
      </w:r>
    </w:p>
    <w:p w14:paraId="10D9A66C" w14:textId="261C865E" w:rsidR="00984037" w:rsidRDefault="00CB7C7E" w:rsidP="00984037">
      <w:pPr>
        <w:pStyle w:val="Default"/>
        <w:rPr>
          <w:sz w:val="22"/>
          <w:szCs w:val="22"/>
        </w:rPr>
      </w:pPr>
      <w:r>
        <w:rPr>
          <w:sz w:val="22"/>
          <w:szCs w:val="22"/>
        </w:rPr>
        <w:t>J</w:t>
      </w:r>
      <w:r w:rsidR="00686DB4">
        <w:rPr>
          <w:sz w:val="22"/>
          <w:szCs w:val="22"/>
          <w:lang w:eastAsia="zh-CN"/>
        </w:rPr>
        <w:t>anuary</w:t>
      </w:r>
      <w:r w:rsidR="006B7831">
        <w:rPr>
          <w:sz w:val="22"/>
          <w:szCs w:val="22"/>
        </w:rPr>
        <w:t xml:space="preserve"> </w:t>
      </w:r>
      <w:r w:rsidR="000B0485">
        <w:rPr>
          <w:sz w:val="22"/>
          <w:szCs w:val="22"/>
        </w:rPr>
        <w:t>2</w:t>
      </w:r>
      <w:r w:rsidR="00686DB4">
        <w:rPr>
          <w:sz w:val="22"/>
          <w:szCs w:val="22"/>
        </w:rPr>
        <w:t>1</w:t>
      </w:r>
      <w:r w:rsidR="005A76BF">
        <w:rPr>
          <w:sz w:val="22"/>
          <w:szCs w:val="22"/>
        </w:rPr>
        <w:t>,</w:t>
      </w:r>
      <w:r w:rsidR="00984037">
        <w:rPr>
          <w:sz w:val="22"/>
          <w:szCs w:val="22"/>
        </w:rPr>
        <w:t xml:space="preserve"> 202</w:t>
      </w:r>
      <w:r w:rsidR="00686DB4">
        <w:rPr>
          <w:sz w:val="22"/>
          <w:szCs w:val="22"/>
        </w:rPr>
        <w:t>2</w:t>
      </w:r>
    </w:p>
    <w:p w14:paraId="603DE07D" w14:textId="3434606E" w:rsidR="00984037" w:rsidRDefault="008212C8" w:rsidP="00984037">
      <w:pPr>
        <w:pStyle w:val="Heading1"/>
      </w:pPr>
      <w:r>
        <w:t xml:space="preserve">Winter </w:t>
      </w:r>
      <w:r w:rsidR="009D2593">
        <w:t xml:space="preserve">RCORP-ETC Meeting </w:t>
      </w:r>
    </w:p>
    <w:p w14:paraId="40DA1193" w14:textId="43216833" w:rsidR="00984037" w:rsidRPr="009A054E" w:rsidRDefault="00984037" w:rsidP="009A054E">
      <w:pPr>
        <w:pStyle w:val="Default"/>
      </w:pPr>
      <w:r>
        <w:rPr>
          <w:sz w:val="22"/>
          <w:szCs w:val="22"/>
        </w:rPr>
        <w:t xml:space="preserve">On </w:t>
      </w:r>
      <w:r w:rsidR="00CB7C7E">
        <w:rPr>
          <w:sz w:val="22"/>
          <w:szCs w:val="22"/>
        </w:rPr>
        <w:t>J</w:t>
      </w:r>
      <w:r w:rsidR="007E7A6F">
        <w:rPr>
          <w:sz w:val="22"/>
          <w:szCs w:val="22"/>
        </w:rPr>
        <w:t>anuary</w:t>
      </w:r>
      <w:r w:rsidR="006B7831">
        <w:rPr>
          <w:sz w:val="22"/>
          <w:szCs w:val="22"/>
        </w:rPr>
        <w:t xml:space="preserve"> </w:t>
      </w:r>
      <w:r w:rsidR="009D2593">
        <w:rPr>
          <w:sz w:val="22"/>
          <w:szCs w:val="22"/>
        </w:rPr>
        <w:t>2</w:t>
      </w:r>
      <w:r w:rsidR="007E7A6F">
        <w:rPr>
          <w:sz w:val="22"/>
          <w:szCs w:val="22"/>
        </w:rPr>
        <w:t>1</w:t>
      </w:r>
      <w:r>
        <w:rPr>
          <w:sz w:val="22"/>
          <w:szCs w:val="22"/>
        </w:rPr>
        <w:t>, 202</w:t>
      </w:r>
      <w:r w:rsidR="007E7A6F">
        <w:rPr>
          <w:sz w:val="22"/>
          <w:szCs w:val="22"/>
        </w:rPr>
        <w:t>2</w:t>
      </w:r>
      <w:r>
        <w:rPr>
          <w:sz w:val="22"/>
          <w:szCs w:val="22"/>
        </w:rPr>
        <w:t>, Project HOPE (</w:t>
      </w:r>
      <w:r w:rsidRPr="00817912">
        <w:rPr>
          <w:sz w:val="22"/>
          <w:szCs w:val="22"/>
          <w:u w:val="single"/>
        </w:rPr>
        <w:t>H</w:t>
      </w:r>
      <w:r>
        <w:rPr>
          <w:sz w:val="22"/>
          <w:szCs w:val="22"/>
        </w:rPr>
        <w:t xml:space="preserve">ealing </w:t>
      </w:r>
      <w:r w:rsidRPr="00817912">
        <w:rPr>
          <w:sz w:val="22"/>
          <w:szCs w:val="22"/>
          <w:u w:val="single"/>
        </w:rPr>
        <w:t>O</w:t>
      </w:r>
      <w:r>
        <w:rPr>
          <w:sz w:val="22"/>
          <w:szCs w:val="22"/>
        </w:rPr>
        <w:t xml:space="preserve">pioid Use Disorder Through </w:t>
      </w:r>
      <w:r w:rsidRPr="00817912">
        <w:rPr>
          <w:sz w:val="22"/>
          <w:szCs w:val="22"/>
          <w:u w:val="single"/>
        </w:rPr>
        <w:t>P</w:t>
      </w:r>
      <w:r>
        <w:rPr>
          <w:sz w:val="22"/>
          <w:szCs w:val="22"/>
        </w:rPr>
        <w:t xml:space="preserve">revention and </w:t>
      </w:r>
      <w:r w:rsidRPr="00817912">
        <w:rPr>
          <w:sz w:val="22"/>
          <w:szCs w:val="22"/>
          <w:u w:val="single"/>
        </w:rPr>
        <w:t>E</w:t>
      </w:r>
      <w:r>
        <w:rPr>
          <w:sz w:val="22"/>
          <w:szCs w:val="22"/>
        </w:rPr>
        <w:t xml:space="preserve">xpertise) </w:t>
      </w:r>
      <w:r w:rsidR="009D2593">
        <w:rPr>
          <w:sz w:val="22"/>
          <w:szCs w:val="22"/>
        </w:rPr>
        <w:t xml:space="preserve">and NOW (Nurturing Options for Women) </w:t>
      </w:r>
      <w:r w:rsidR="00CB7C7E">
        <w:rPr>
          <w:sz w:val="22"/>
          <w:szCs w:val="22"/>
        </w:rPr>
        <w:t xml:space="preserve">hosted an </w:t>
      </w:r>
      <w:r w:rsidR="00E66071">
        <w:rPr>
          <w:sz w:val="22"/>
          <w:szCs w:val="22"/>
        </w:rPr>
        <w:t xml:space="preserve">online </w:t>
      </w:r>
      <w:r>
        <w:rPr>
          <w:sz w:val="22"/>
          <w:szCs w:val="22"/>
        </w:rPr>
        <w:t xml:space="preserve">event for </w:t>
      </w:r>
      <w:r w:rsidR="00E66071">
        <w:rPr>
          <w:sz w:val="22"/>
          <w:szCs w:val="22"/>
        </w:rPr>
        <w:t>professionals who serve</w:t>
      </w:r>
      <w:r w:rsidR="000D6635">
        <w:rPr>
          <w:sz w:val="22"/>
          <w:szCs w:val="22"/>
        </w:rPr>
        <w:t xml:space="preserve"> the </w:t>
      </w:r>
      <w:r w:rsidR="009D2593">
        <w:rPr>
          <w:sz w:val="22"/>
          <w:szCs w:val="22"/>
        </w:rPr>
        <w:t xml:space="preserve">RCORP-ETC </w:t>
      </w:r>
      <w:r w:rsidR="000D6635">
        <w:rPr>
          <w:sz w:val="22"/>
          <w:szCs w:val="22"/>
        </w:rPr>
        <w:t>10-</w:t>
      </w:r>
      <w:r>
        <w:rPr>
          <w:sz w:val="22"/>
          <w:szCs w:val="22"/>
        </w:rPr>
        <w:t xml:space="preserve">county area. The </w:t>
      </w:r>
      <w:r w:rsidR="009D2593">
        <w:rPr>
          <w:sz w:val="22"/>
          <w:szCs w:val="22"/>
        </w:rPr>
        <w:t>2</w:t>
      </w:r>
      <w:r w:rsidR="00CB7C7E">
        <w:rPr>
          <w:sz w:val="22"/>
          <w:szCs w:val="22"/>
        </w:rPr>
        <w:t xml:space="preserve">-hour </w:t>
      </w:r>
      <w:r>
        <w:rPr>
          <w:sz w:val="22"/>
          <w:szCs w:val="22"/>
        </w:rPr>
        <w:t>event</w:t>
      </w:r>
      <w:r w:rsidR="00393904">
        <w:rPr>
          <w:sz w:val="22"/>
          <w:szCs w:val="22"/>
        </w:rPr>
        <w:t>, “</w:t>
      </w:r>
      <w:r w:rsidR="007E7A6F">
        <w:rPr>
          <w:sz w:val="22"/>
          <w:szCs w:val="22"/>
        </w:rPr>
        <w:t>Rural kinship care in the opioid crisis</w:t>
      </w:r>
      <w:r w:rsidR="00393904">
        <w:rPr>
          <w:sz w:val="22"/>
          <w:szCs w:val="22"/>
        </w:rPr>
        <w:t>”,</w:t>
      </w:r>
      <w:r w:rsidR="000D6635">
        <w:rPr>
          <w:sz w:val="22"/>
          <w:szCs w:val="22"/>
        </w:rPr>
        <w:t xml:space="preserve"> </w:t>
      </w:r>
      <w:r w:rsidR="00CB7C7E">
        <w:rPr>
          <w:sz w:val="22"/>
          <w:szCs w:val="22"/>
        </w:rPr>
        <w:t>included</w:t>
      </w:r>
      <w:r w:rsidR="007E7A6F">
        <w:rPr>
          <w:sz w:val="22"/>
          <w:szCs w:val="22"/>
        </w:rPr>
        <w:t xml:space="preserve"> presentations</w:t>
      </w:r>
      <w:r w:rsidR="009D2593">
        <w:rPr>
          <w:sz w:val="22"/>
          <w:szCs w:val="22"/>
        </w:rPr>
        <w:t xml:space="preserve"> </w:t>
      </w:r>
      <w:r w:rsidR="00393904">
        <w:rPr>
          <w:sz w:val="22"/>
          <w:szCs w:val="22"/>
        </w:rPr>
        <w:t xml:space="preserve">by </w:t>
      </w:r>
      <w:r w:rsidR="007E7A6F">
        <w:rPr>
          <w:sz w:val="22"/>
          <w:szCs w:val="22"/>
        </w:rPr>
        <w:t xml:space="preserve">Heath Cook and April Snell of the University of Tennessee, Knoxville </w:t>
      </w:r>
      <w:r w:rsidR="00547470">
        <w:rPr>
          <w:sz w:val="22"/>
          <w:szCs w:val="22"/>
        </w:rPr>
        <w:t xml:space="preserve">(UTK) </w:t>
      </w:r>
      <w:r w:rsidR="009D2593">
        <w:rPr>
          <w:sz w:val="22"/>
          <w:szCs w:val="22"/>
        </w:rPr>
        <w:t xml:space="preserve">and two panel discussion </w:t>
      </w:r>
      <w:r w:rsidR="009A054E">
        <w:rPr>
          <w:sz w:val="22"/>
          <w:szCs w:val="22"/>
        </w:rPr>
        <w:t>session</w:t>
      </w:r>
      <w:r w:rsidR="00A37C7F">
        <w:rPr>
          <w:sz w:val="22"/>
          <w:szCs w:val="22"/>
        </w:rPr>
        <w:t>s</w:t>
      </w:r>
      <w:r w:rsidR="009A054E">
        <w:rPr>
          <w:sz w:val="22"/>
          <w:szCs w:val="22"/>
        </w:rPr>
        <w:t xml:space="preserve"> on</w:t>
      </w:r>
      <w:r w:rsidR="007E7A6F">
        <w:rPr>
          <w:sz w:val="22"/>
          <w:szCs w:val="22"/>
        </w:rPr>
        <w:t xml:space="preserve"> rural kinship care lived experience and recommendations, and community supports and gaps. </w:t>
      </w:r>
      <w:r w:rsidR="008212C8">
        <w:rPr>
          <w:sz w:val="22"/>
          <w:szCs w:val="22"/>
        </w:rPr>
        <w:t xml:space="preserve">Brittany Rosette-Jones and Mitchell Olszewski shared their lived experience. </w:t>
      </w:r>
      <w:r w:rsidR="007E7A6F">
        <w:rPr>
          <w:sz w:val="22"/>
          <w:szCs w:val="22"/>
        </w:rPr>
        <w:t xml:space="preserve">Tracy Van de </w:t>
      </w:r>
      <w:proofErr w:type="spellStart"/>
      <w:r w:rsidR="007E7A6F">
        <w:rPr>
          <w:sz w:val="22"/>
          <w:szCs w:val="22"/>
        </w:rPr>
        <w:t>Vate</w:t>
      </w:r>
      <w:proofErr w:type="spellEnd"/>
      <w:r w:rsidR="007E7A6F">
        <w:rPr>
          <w:sz w:val="22"/>
          <w:szCs w:val="22"/>
        </w:rPr>
        <w:t xml:space="preserve"> from Tennessee Office on Aging, Aisha Abu-</w:t>
      </w:r>
      <w:proofErr w:type="spellStart"/>
      <w:r w:rsidR="007E7A6F">
        <w:rPr>
          <w:sz w:val="22"/>
          <w:szCs w:val="22"/>
        </w:rPr>
        <w:t>Asaba</w:t>
      </w:r>
      <w:proofErr w:type="spellEnd"/>
      <w:r w:rsidR="007E7A6F">
        <w:rPr>
          <w:sz w:val="22"/>
          <w:szCs w:val="22"/>
        </w:rPr>
        <w:t xml:space="preserve"> and </w:t>
      </w:r>
      <w:proofErr w:type="spellStart"/>
      <w:r w:rsidR="007E7A6F">
        <w:rPr>
          <w:sz w:val="22"/>
          <w:szCs w:val="22"/>
        </w:rPr>
        <w:t>Carran</w:t>
      </w:r>
      <w:proofErr w:type="spellEnd"/>
      <w:r w:rsidR="007E7A6F">
        <w:rPr>
          <w:sz w:val="22"/>
          <w:szCs w:val="22"/>
        </w:rPr>
        <w:t xml:space="preserve"> Broadnax from Tennessee Department of Children’s services introduced</w:t>
      </w:r>
      <w:r w:rsidR="009A054E">
        <w:rPr>
          <w:rFonts w:hint="eastAsia"/>
          <w:sz w:val="22"/>
          <w:szCs w:val="22"/>
          <w:lang w:eastAsia="zh-CN"/>
        </w:rPr>
        <w:t xml:space="preserve"> </w:t>
      </w:r>
      <w:r w:rsidR="007E7A6F">
        <w:rPr>
          <w:sz w:val="22"/>
          <w:szCs w:val="22"/>
          <w:lang w:eastAsia="zh-CN"/>
        </w:rPr>
        <w:t xml:space="preserve">kinship care services and programs in Tennessee. </w:t>
      </w:r>
    </w:p>
    <w:p w14:paraId="08E0F90A" w14:textId="056BBE22" w:rsidR="00984037" w:rsidRDefault="00984037" w:rsidP="00984037">
      <w:pPr>
        <w:pStyle w:val="Heading1"/>
      </w:pPr>
      <w:r>
        <w:t>Attendees</w:t>
      </w:r>
    </w:p>
    <w:p w14:paraId="30285E83" w14:textId="71914959" w:rsidR="000B0485" w:rsidRDefault="000B0485" w:rsidP="00376C14">
      <w:pPr>
        <w:pStyle w:val="Default"/>
        <w:rPr>
          <w:sz w:val="22"/>
          <w:szCs w:val="22"/>
          <w:lang w:eastAsia="zh-CN"/>
        </w:rPr>
      </w:pPr>
      <w:r>
        <w:rPr>
          <w:sz w:val="22"/>
          <w:szCs w:val="22"/>
        </w:rPr>
        <w:t xml:space="preserve">The RCORP-ETC region </w:t>
      </w:r>
      <w:r w:rsidR="00984037">
        <w:rPr>
          <w:sz w:val="22"/>
          <w:szCs w:val="22"/>
        </w:rPr>
        <w:t xml:space="preserve">includes </w:t>
      </w:r>
      <w:r>
        <w:rPr>
          <w:sz w:val="22"/>
          <w:szCs w:val="22"/>
        </w:rPr>
        <w:t>10</w:t>
      </w:r>
      <w:r w:rsidR="00984037">
        <w:rPr>
          <w:sz w:val="22"/>
          <w:szCs w:val="22"/>
        </w:rPr>
        <w:t xml:space="preserve"> counties in East Tennessee: </w:t>
      </w:r>
      <w:r>
        <w:rPr>
          <w:sz w:val="22"/>
          <w:szCs w:val="22"/>
        </w:rPr>
        <w:t xml:space="preserve">Roane, Morgan, Union, Grainger, Hamblen, </w:t>
      </w:r>
      <w:r w:rsidR="00984037">
        <w:rPr>
          <w:sz w:val="22"/>
          <w:szCs w:val="22"/>
        </w:rPr>
        <w:t xml:space="preserve">Scott, Claiborne, </w:t>
      </w:r>
      <w:proofErr w:type="spellStart"/>
      <w:r w:rsidR="00984037">
        <w:rPr>
          <w:sz w:val="22"/>
          <w:szCs w:val="22"/>
        </w:rPr>
        <w:t>Cocke</w:t>
      </w:r>
      <w:proofErr w:type="spellEnd"/>
      <w:r w:rsidR="00984037">
        <w:rPr>
          <w:sz w:val="22"/>
          <w:szCs w:val="22"/>
        </w:rPr>
        <w:t>, Jefferson, and Campbell (</w:t>
      </w:r>
      <w:r w:rsidR="00F13064">
        <w:rPr>
          <w:sz w:val="22"/>
          <w:szCs w:val="22"/>
        </w:rPr>
        <w:t xml:space="preserve">see </w:t>
      </w:r>
      <w:r w:rsidR="00984037">
        <w:rPr>
          <w:sz w:val="22"/>
          <w:szCs w:val="22"/>
        </w:rPr>
        <w:t xml:space="preserve">Figure 1). The consortium is co-led by </w:t>
      </w:r>
      <w:r w:rsidR="00547470">
        <w:rPr>
          <w:sz w:val="22"/>
          <w:szCs w:val="22"/>
        </w:rPr>
        <w:t xml:space="preserve">UTK </w:t>
      </w:r>
      <w:r w:rsidR="00984037">
        <w:rPr>
          <w:sz w:val="22"/>
          <w:szCs w:val="22"/>
        </w:rPr>
        <w:t xml:space="preserve">and </w:t>
      </w:r>
      <w:r w:rsidR="00F13064">
        <w:rPr>
          <w:sz w:val="22"/>
          <w:szCs w:val="22"/>
        </w:rPr>
        <w:t xml:space="preserve">has </w:t>
      </w:r>
      <w:r w:rsidR="003D534E">
        <w:rPr>
          <w:sz w:val="22"/>
          <w:szCs w:val="22"/>
        </w:rPr>
        <w:t>more than</w:t>
      </w:r>
      <w:r w:rsidR="00F13064">
        <w:rPr>
          <w:sz w:val="22"/>
          <w:szCs w:val="22"/>
        </w:rPr>
        <w:t xml:space="preserve"> 1</w:t>
      </w:r>
      <w:r w:rsidR="003D534E">
        <w:rPr>
          <w:sz w:val="22"/>
          <w:szCs w:val="22"/>
        </w:rPr>
        <w:t>5</w:t>
      </w:r>
      <w:r w:rsidR="00F13064">
        <w:rPr>
          <w:sz w:val="22"/>
          <w:szCs w:val="22"/>
        </w:rPr>
        <w:t>0</w:t>
      </w:r>
      <w:r w:rsidR="00984037">
        <w:rPr>
          <w:sz w:val="22"/>
          <w:szCs w:val="22"/>
        </w:rPr>
        <w:t xml:space="preserve"> members. </w:t>
      </w:r>
      <w:r w:rsidR="00811B55">
        <w:rPr>
          <w:sz w:val="22"/>
          <w:szCs w:val="22"/>
        </w:rPr>
        <w:t xml:space="preserve">The </w:t>
      </w:r>
      <w:r w:rsidR="00A37C7F">
        <w:rPr>
          <w:sz w:val="22"/>
          <w:szCs w:val="22"/>
        </w:rPr>
        <w:t>meeting</w:t>
      </w:r>
      <w:r w:rsidR="00811B55">
        <w:rPr>
          <w:sz w:val="22"/>
          <w:szCs w:val="22"/>
        </w:rPr>
        <w:t xml:space="preserve"> flyer was posted on the project website</w:t>
      </w:r>
      <w:r w:rsidR="00547470">
        <w:rPr>
          <w:sz w:val="22"/>
          <w:szCs w:val="22"/>
        </w:rPr>
        <w:t>, social media, and sent out through UTK Tennessee Today</w:t>
      </w:r>
      <w:r w:rsidR="00811B55">
        <w:rPr>
          <w:sz w:val="22"/>
          <w:szCs w:val="22"/>
        </w:rPr>
        <w:t xml:space="preserve">. Invitations for </w:t>
      </w:r>
      <w:r>
        <w:rPr>
          <w:sz w:val="22"/>
          <w:szCs w:val="22"/>
        </w:rPr>
        <w:t xml:space="preserve">the RCORP-ETC Consortium Meeting </w:t>
      </w:r>
      <w:r w:rsidR="00811B55">
        <w:rPr>
          <w:sz w:val="22"/>
          <w:szCs w:val="22"/>
        </w:rPr>
        <w:t>were emailed to all consortium members</w:t>
      </w:r>
      <w:r>
        <w:rPr>
          <w:sz w:val="22"/>
          <w:szCs w:val="22"/>
        </w:rPr>
        <w:t>, who were also invited to share the invitation with interested colleagues and community members.</w:t>
      </w:r>
      <w:r w:rsidR="00811B55">
        <w:rPr>
          <w:sz w:val="22"/>
          <w:szCs w:val="22"/>
        </w:rPr>
        <w:t xml:space="preserve"> </w:t>
      </w:r>
      <w:r w:rsidR="007E7A6F">
        <w:rPr>
          <w:sz w:val="22"/>
          <w:szCs w:val="22"/>
        </w:rPr>
        <w:t xml:space="preserve">Ninety-three </w:t>
      </w:r>
      <w:r>
        <w:rPr>
          <w:sz w:val="22"/>
          <w:szCs w:val="22"/>
        </w:rPr>
        <w:t xml:space="preserve">people </w:t>
      </w:r>
      <w:r w:rsidR="00811B55">
        <w:rPr>
          <w:sz w:val="22"/>
          <w:szCs w:val="22"/>
        </w:rPr>
        <w:t>registered for the training</w:t>
      </w:r>
      <w:r w:rsidR="007E7A6F">
        <w:rPr>
          <w:sz w:val="22"/>
          <w:szCs w:val="22"/>
        </w:rPr>
        <w:t xml:space="preserve"> and 50</w:t>
      </w:r>
      <w:r w:rsidR="00811B55">
        <w:rPr>
          <w:sz w:val="22"/>
          <w:szCs w:val="22"/>
        </w:rPr>
        <w:t xml:space="preserve"> professionals </w:t>
      </w:r>
      <w:r w:rsidR="00393904">
        <w:rPr>
          <w:sz w:val="22"/>
          <w:szCs w:val="22"/>
        </w:rPr>
        <w:t>attended</w:t>
      </w:r>
      <w:r w:rsidR="00811B55">
        <w:rPr>
          <w:sz w:val="22"/>
          <w:szCs w:val="22"/>
        </w:rPr>
        <w:t xml:space="preserve">. </w:t>
      </w:r>
      <w:r w:rsidR="008212C8">
        <w:rPr>
          <w:sz w:val="22"/>
          <w:szCs w:val="22"/>
          <w:lang w:eastAsia="zh-CN"/>
        </w:rPr>
        <w:t>Of the</w:t>
      </w:r>
      <w:r w:rsidR="00AC5616">
        <w:rPr>
          <w:sz w:val="22"/>
          <w:szCs w:val="22"/>
          <w:lang w:eastAsia="zh-CN"/>
        </w:rPr>
        <w:t xml:space="preserve"> registrants, 30.5% heard about the event through </w:t>
      </w:r>
      <w:r w:rsidR="0003505C">
        <w:rPr>
          <w:sz w:val="22"/>
          <w:szCs w:val="22"/>
          <w:lang w:eastAsia="zh-CN"/>
        </w:rPr>
        <w:t>the</w:t>
      </w:r>
      <w:r w:rsidR="00AC5616">
        <w:rPr>
          <w:sz w:val="22"/>
          <w:szCs w:val="22"/>
          <w:lang w:eastAsia="zh-CN"/>
        </w:rPr>
        <w:t xml:space="preserve"> consortium listserv, 24.8% were recommended by their employers, and 21.9% were recommended by a friend or colleague. Some found the event through the project website (10.5%) and social media (3.8%).</w:t>
      </w:r>
    </w:p>
    <w:p w14:paraId="2DC240D0" w14:textId="77777777" w:rsidR="000B0485" w:rsidRDefault="000B0485" w:rsidP="000B0485">
      <w:pPr>
        <w:pStyle w:val="Heading1"/>
      </w:pPr>
      <w:r>
        <w:t xml:space="preserve">Evaluation </w:t>
      </w:r>
    </w:p>
    <w:p w14:paraId="02E88851" w14:textId="6DB7BD43" w:rsidR="000B0485" w:rsidRDefault="00A37C7F" w:rsidP="00376C14">
      <w:pPr>
        <w:pStyle w:val="Default"/>
        <w:rPr>
          <w:sz w:val="22"/>
          <w:szCs w:val="22"/>
        </w:rPr>
      </w:pPr>
      <w:r>
        <w:rPr>
          <w:sz w:val="22"/>
          <w:szCs w:val="22"/>
        </w:rPr>
        <w:t xml:space="preserve">Of the </w:t>
      </w:r>
      <w:r w:rsidR="00547470">
        <w:rPr>
          <w:sz w:val="22"/>
          <w:szCs w:val="22"/>
        </w:rPr>
        <w:t>50</w:t>
      </w:r>
      <w:r>
        <w:rPr>
          <w:sz w:val="22"/>
          <w:szCs w:val="22"/>
        </w:rPr>
        <w:t xml:space="preserve"> attendees, 1</w:t>
      </w:r>
      <w:r w:rsidR="00547470">
        <w:rPr>
          <w:sz w:val="22"/>
          <w:szCs w:val="22"/>
        </w:rPr>
        <w:t>4</w:t>
      </w:r>
      <w:r>
        <w:rPr>
          <w:sz w:val="22"/>
          <w:szCs w:val="22"/>
        </w:rPr>
        <w:t xml:space="preserve"> </w:t>
      </w:r>
      <w:r w:rsidR="005D4806">
        <w:rPr>
          <w:sz w:val="22"/>
          <w:szCs w:val="22"/>
        </w:rPr>
        <w:t>(</w:t>
      </w:r>
      <w:r w:rsidR="0006668D">
        <w:rPr>
          <w:sz w:val="22"/>
          <w:szCs w:val="22"/>
        </w:rPr>
        <w:t>28</w:t>
      </w:r>
      <w:r w:rsidR="005D4806">
        <w:rPr>
          <w:sz w:val="22"/>
          <w:szCs w:val="22"/>
        </w:rPr>
        <w:t>%</w:t>
      </w:r>
      <w:r w:rsidR="00732429">
        <w:rPr>
          <w:sz w:val="22"/>
          <w:szCs w:val="22"/>
        </w:rPr>
        <w:t xml:space="preserve">) </w:t>
      </w:r>
      <w:r w:rsidR="000B0485">
        <w:rPr>
          <w:sz w:val="22"/>
          <w:szCs w:val="22"/>
        </w:rPr>
        <w:t xml:space="preserve">completed the evaluation survey. </w:t>
      </w:r>
      <w:r w:rsidR="00393904">
        <w:rPr>
          <w:sz w:val="22"/>
          <w:szCs w:val="22"/>
        </w:rPr>
        <w:t xml:space="preserve">Attendees </w:t>
      </w:r>
      <w:r w:rsidR="000B0485">
        <w:rPr>
          <w:sz w:val="22"/>
          <w:szCs w:val="22"/>
        </w:rPr>
        <w:t xml:space="preserve">included </w:t>
      </w:r>
      <w:r w:rsidR="0006668D">
        <w:rPr>
          <w:sz w:val="22"/>
          <w:szCs w:val="22"/>
        </w:rPr>
        <w:t>legal professionals</w:t>
      </w:r>
      <w:r w:rsidR="00E732C3">
        <w:rPr>
          <w:sz w:val="22"/>
          <w:szCs w:val="22"/>
        </w:rPr>
        <w:t xml:space="preserve">, social workers, non-profit professionals, community-based nurses, certified peer-recovery specialists, public health professionals, </w:t>
      </w:r>
      <w:r w:rsidR="00BE77FD">
        <w:rPr>
          <w:sz w:val="22"/>
          <w:szCs w:val="22"/>
        </w:rPr>
        <w:t xml:space="preserve">students </w:t>
      </w:r>
      <w:r w:rsidR="00E732C3">
        <w:rPr>
          <w:sz w:val="22"/>
          <w:szCs w:val="22"/>
        </w:rPr>
        <w:t xml:space="preserve">and </w:t>
      </w:r>
      <w:r w:rsidR="00BE77FD">
        <w:rPr>
          <w:sz w:val="22"/>
          <w:szCs w:val="22"/>
        </w:rPr>
        <w:t>faith-based community members</w:t>
      </w:r>
      <w:r w:rsidR="000B0485">
        <w:rPr>
          <w:sz w:val="22"/>
          <w:szCs w:val="22"/>
        </w:rPr>
        <w:t>. The attend</w:t>
      </w:r>
      <w:r w:rsidR="005D4806">
        <w:rPr>
          <w:sz w:val="22"/>
          <w:szCs w:val="22"/>
        </w:rPr>
        <w:t>ing professionals</w:t>
      </w:r>
      <w:r w:rsidR="000B0485">
        <w:rPr>
          <w:sz w:val="22"/>
          <w:szCs w:val="22"/>
        </w:rPr>
        <w:t xml:space="preserve"> work</w:t>
      </w:r>
      <w:r w:rsidR="008212C8">
        <w:rPr>
          <w:sz w:val="22"/>
          <w:szCs w:val="22"/>
        </w:rPr>
        <w:t xml:space="preserve"> in</w:t>
      </w:r>
      <w:r w:rsidR="000B0485">
        <w:rPr>
          <w:sz w:val="22"/>
          <w:szCs w:val="22"/>
        </w:rPr>
        <w:t xml:space="preserve"> or serve </w:t>
      </w:r>
      <w:r w:rsidR="00BE77FD">
        <w:rPr>
          <w:sz w:val="22"/>
          <w:szCs w:val="22"/>
        </w:rPr>
        <w:t>15</w:t>
      </w:r>
      <w:r w:rsidR="000B0485">
        <w:rPr>
          <w:sz w:val="22"/>
          <w:szCs w:val="22"/>
        </w:rPr>
        <w:t xml:space="preserve"> counties: Campbell, Claiborne, </w:t>
      </w:r>
      <w:proofErr w:type="spellStart"/>
      <w:r w:rsidR="000B0485">
        <w:rPr>
          <w:sz w:val="22"/>
          <w:szCs w:val="22"/>
        </w:rPr>
        <w:t>Cocke</w:t>
      </w:r>
      <w:proofErr w:type="spellEnd"/>
      <w:r w:rsidR="000B0485">
        <w:rPr>
          <w:sz w:val="22"/>
          <w:szCs w:val="22"/>
        </w:rPr>
        <w:t>, Grainger, Hamblen, Jefferson, Morgan, Roane, Scott, Union, Knox</w:t>
      </w:r>
      <w:r w:rsidR="008F02E2">
        <w:rPr>
          <w:sz w:val="22"/>
          <w:szCs w:val="22"/>
        </w:rPr>
        <w:t>,</w:t>
      </w:r>
      <w:r w:rsidR="00E732C3" w:rsidRPr="00E732C3">
        <w:rPr>
          <w:sz w:val="22"/>
          <w:szCs w:val="22"/>
        </w:rPr>
        <w:t xml:space="preserve"> </w:t>
      </w:r>
      <w:r w:rsidR="00BE77FD">
        <w:rPr>
          <w:sz w:val="22"/>
          <w:szCs w:val="22"/>
        </w:rPr>
        <w:t>Blount, Sevier, Hamilton, and Williamson.</w:t>
      </w:r>
      <w:r w:rsidR="000B0485">
        <w:rPr>
          <w:sz w:val="22"/>
          <w:szCs w:val="22"/>
        </w:rPr>
        <w:t xml:space="preserve"> </w:t>
      </w:r>
    </w:p>
    <w:p w14:paraId="31472F12" w14:textId="29C4851B" w:rsidR="00F13064" w:rsidRDefault="00F13064" w:rsidP="00984037">
      <w:pPr>
        <w:pStyle w:val="Default"/>
        <w:rPr>
          <w:sz w:val="22"/>
          <w:szCs w:val="22"/>
        </w:rPr>
      </w:pPr>
    </w:p>
    <w:p w14:paraId="73332E67" w14:textId="43064A79" w:rsidR="00393904" w:rsidRDefault="00393904">
      <w:pPr>
        <w:rPr>
          <w:rFonts w:ascii="Calibri" w:hAnsi="Calibri" w:cs="Calibri"/>
          <w:color w:val="000000"/>
        </w:rPr>
      </w:pPr>
      <w:r>
        <w:br w:type="page"/>
      </w:r>
    </w:p>
    <w:p w14:paraId="58616336" w14:textId="623D3AB4" w:rsidR="00732429" w:rsidRPr="00F13064" w:rsidRDefault="000B0485" w:rsidP="00984037">
      <w:pPr>
        <w:pStyle w:val="Default"/>
        <w:rPr>
          <w:b/>
          <w:sz w:val="22"/>
          <w:szCs w:val="22"/>
        </w:rPr>
      </w:pPr>
      <w:r w:rsidRPr="00F13064">
        <w:rPr>
          <w:b/>
          <w:sz w:val="22"/>
          <w:szCs w:val="22"/>
        </w:rPr>
        <w:lastRenderedPageBreak/>
        <w:t xml:space="preserve">Figure1.  </w:t>
      </w:r>
    </w:p>
    <w:p w14:paraId="0F5E9A57" w14:textId="14428C5F" w:rsidR="00477BFB" w:rsidRDefault="00094559" w:rsidP="00477BFB">
      <w:pPr>
        <w:pStyle w:val="Default"/>
        <w:rPr>
          <w:sz w:val="22"/>
          <w:szCs w:val="22"/>
        </w:rPr>
      </w:pPr>
      <w:r>
        <w:rPr>
          <w:noProof/>
          <w:sz w:val="22"/>
          <w:szCs w:val="22"/>
        </w:rPr>
        <w:drawing>
          <wp:inline distT="0" distB="0" distL="0" distR="0" wp14:anchorId="39946306" wp14:editId="2F480724">
            <wp:extent cx="4091651" cy="2872898"/>
            <wp:effectExtent l="0" t="0" r="4445" b="3810"/>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rvice Map.png"/>
                    <pic:cNvPicPr/>
                  </pic:nvPicPr>
                  <pic:blipFill>
                    <a:blip r:embed="rId7">
                      <a:extLst>
                        <a:ext uri="{28A0092B-C50C-407E-A947-70E740481C1C}">
                          <a14:useLocalDpi xmlns:a14="http://schemas.microsoft.com/office/drawing/2010/main" val="0"/>
                        </a:ext>
                      </a:extLst>
                    </a:blip>
                    <a:stretch>
                      <a:fillRect/>
                    </a:stretch>
                  </pic:blipFill>
                  <pic:spPr>
                    <a:xfrm>
                      <a:off x="0" y="0"/>
                      <a:ext cx="4105108" cy="2882347"/>
                    </a:xfrm>
                    <a:prstGeom prst="rect">
                      <a:avLst/>
                    </a:prstGeom>
                  </pic:spPr>
                </pic:pic>
              </a:graphicData>
            </a:graphic>
          </wp:inline>
        </w:drawing>
      </w:r>
    </w:p>
    <w:p w14:paraId="3F43B5E1" w14:textId="5821BFEC" w:rsidR="00984037" w:rsidRDefault="00984037" w:rsidP="00984037">
      <w:pPr>
        <w:pStyle w:val="Heading1"/>
      </w:pPr>
      <w:r>
        <w:t>Evaluation of Training</w:t>
      </w:r>
    </w:p>
    <w:p w14:paraId="2015D284" w14:textId="3CE49CC4" w:rsidR="00562D0A" w:rsidRDefault="00984037" w:rsidP="00984037">
      <w:pPr>
        <w:pStyle w:val="Default"/>
        <w:rPr>
          <w:sz w:val="22"/>
          <w:szCs w:val="22"/>
        </w:rPr>
      </w:pPr>
      <w:r>
        <w:rPr>
          <w:sz w:val="22"/>
          <w:szCs w:val="22"/>
        </w:rPr>
        <w:t xml:space="preserve">The overall experience of the </w:t>
      </w:r>
      <w:r w:rsidR="005D4806">
        <w:rPr>
          <w:sz w:val="22"/>
          <w:szCs w:val="22"/>
        </w:rPr>
        <w:t>meeting</w:t>
      </w:r>
      <w:r>
        <w:rPr>
          <w:sz w:val="22"/>
          <w:szCs w:val="22"/>
        </w:rPr>
        <w:t xml:space="preserve"> was </w:t>
      </w:r>
      <w:r w:rsidR="008C3D69">
        <w:rPr>
          <w:sz w:val="22"/>
          <w:szCs w:val="22"/>
        </w:rPr>
        <w:t xml:space="preserve">well </w:t>
      </w:r>
      <w:r>
        <w:rPr>
          <w:sz w:val="22"/>
          <w:szCs w:val="22"/>
        </w:rPr>
        <w:t xml:space="preserve">regarded </w:t>
      </w:r>
      <w:r w:rsidR="004768BD">
        <w:rPr>
          <w:sz w:val="22"/>
          <w:szCs w:val="22"/>
        </w:rPr>
        <w:t xml:space="preserve">by </w:t>
      </w:r>
      <w:r>
        <w:rPr>
          <w:sz w:val="22"/>
          <w:szCs w:val="22"/>
        </w:rPr>
        <w:t xml:space="preserve">attendees, as </w:t>
      </w:r>
      <w:r w:rsidR="00F13064">
        <w:rPr>
          <w:sz w:val="22"/>
          <w:szCs w:val="22"/>
        </w:rPr>
        <w:t>all</w:t>
      </w:r>
      <w:r>
        <w:rPr>
          <w:sz w:val="22"/>
          <w:szCs w:val="22"/>
        </w:rPr>
        <w:t xml:space="preserve"> </w:t>
      </w:r>
      <w:r w:rsidR="0004759A">
        <w:rPr>
          <w:sz w:val="22"/>
          <w:szCs w:val="22"/>
        </w:rPr>
        <w:t>participants</w:t>
      </w:r>
      <w:r>
        <w:rPr>
          <w:sz w:val="22"/>
          <w:szCs w:val="22"/>
        </w:rPr>
        <w:t xml:space="preserve"> </w:t>
      </w:r>
      <w:proofErr w:type="gramStart"/>
      <w:r w:rsidR="004768BD">
        <w:rPr>
          <w:sz w:val="22"/>
          <w:szCs w:val="22"/>
        </w:rPr>
        <w:t>shared</w:t>
      </w:r>
      <w:proofErr w:type="gramEnd"/>
      <w:r w:rsidR="004768BD">
        <w:rPr>
          <w:sz w:val="22"/>
          <w:szCs w:val="22"/>
        </w:rPr>
        <w:t xml:space="preserve"> they </w:t>
      </w:r>
      <w:r>
        <w:rPr>
          <w:sz w:val="22"/>
          <w:szCs w:val="22"/>
        </w:rPr>
        <w:t xml:space="preserve">would recommend </w:t>
      </w:r>
      <w:r w:rsidR="00F77254">
        <w:rPr>
          <w:sz w:val="22"/>
          <w:szCs w:val="22"/>
        </w:rPr>
        <w:t xml:space="preserve">the </w:t>
      </w:r>
      <w:r w:rsidR="005D4806">
        <w:rPr>
          <w:sz w:val="22"/>
          <w:szCs w:val="22"/>
        </w:rPr>
        <w:t xml:space="preserve">meeting </w:t>
      </w:r>
      <w:r>
        <w:rPr>
          <w:sz w:val="22"/>
          <w:szCs w:val="22"/>
        </w:rPr>
        <w:t xml:space="preserve">to a colleague. </w:t>
      </w:r>
    </w:p>
    <w:p w14:paraId="4463329B" w14:textId="77777777" w:rsidR="00562D0A" w:rsidRDefault="00562D0A" w:rsidP="00984037">
      <w:pPr>
        <w:pStyle w:val="Default"/>
        <w:rPr>
          <w:sz w:val="22"/>
          <w:szCs w:val="22"/>
        </w:rPr>
      </w:pPr>
    </w:p>
    <w:p w14:paraId="23A56097" w14:textId="360D451F" w:rsidR="00984037" w:rsidRDefault="000729B5" w:rsidP="00984037">
      <w:pPr>
        <w:pStyle w:val="Default"/>
        <w:rPr>
          <w:sz w:val="22"/>
          <w:szCs w:val="22"/>
        </w:rPr>
      </w:pPr>
      <w:r>
        <w:rPr>
          <w:sz w:val="22"/>
          <w:szCs w:val="22"/>
        </w:rPr>
        <w:t xml:space="preserve">Attendees indicated how satisfied they were with the </w:t>
      </w:r>
      <w:r w:rsidR="00737BC9">
        <w:rPr>
          <w:sz w:val="22"/>
          <w:szCs w:val="22"/>
        </w:rPr>
        <w:t>meeting</w:t>
      </w:r>
      <w:r>
        <w:rPr>
          <w:sz w:val="22"/>
          <w:szCs w:val="22"/>
        </w:rPr>
        <w:t xml:space="preserve">, possible answers ranged from </w:t>
      </w:r>
      <w:r w:rsidRPr="000729B5">
        <w:rPr>
          <w:i/>
          <w:iCs/>
          <w:sz w:val="22"/>
          <w:szCs w:val="22"/>
        </w:rPr>
        <w:t>very dissatisfied (1)</w:t>
      </w:r>
      <w:r>
        <w:rPr>
          <w:sz w:val="22"/>
          <w:szCs w:val="22"/>
        </w:rPr>
        <w:t xml:space="preserve"> to </w:t>
      </w:r>
      <w:r w:rsidRPr="000729B5">
        <w:rPr>
          <w:i/>
          <w:iCs/>
          <w:sz w:val="22"/>
          <w:szCs w:val="22"/>
        </w:rPr>
        <w:t>very satisfied (5).</w:t>
      </w:r>
      <w:r>
        <w:rPr>
          <w:sz w:val="22"/>
          <w:szCs w:val="22"/>
        </w:rPr>
        <w:t xml:space="preserve"> On average</w:t>
      </w:r>
      <w:r w:rsidR="0004759A">
        <w:rPr>
          <w:sz w:val="22"/>
          <w:szCs w:val="22"/>
        </w:rPr>
        <w:t>,</w:t>
      </w:r>
      <w:r>
        <w:rPr>
          <w:sz w:val="22"/>
          <w:szCs w:val="22"/>
        </w:rPr>
        <w:t xml:space="preserve"> </w:t>
      </w:r>
      <w:r w:rsidR="0004759A">
        <w:rPr>
          <w:sz w:val="22"/>
          <w:szCs w:val="22"/>
        </w:rPr>
        <w:t>participants</w:t>
      </w:r>
      <w:r>
        <w:rPr>
          <w:sz w:val="22"/>
          <w:szCs w:val="22"/>
        </w:rPr>
        <w:t xml:space="preserve">’ answers ranged between </w:t>
      </w:r>
      <w:r w:rsidRPr="000729B5">
        <w:rPr>
          <w:i/>
          <w:iCs/>
          <w:sz w:val="22"/>
          <w:szCs w:val="22"/>
        </w:rPr>
        <w:t>satisfied (4)</w:t>
      </w:r>
      <w:r>
        <w:rPr>
          <w:sz w:val="22"/>
          <w:szCs w:val="22"/>
        </w:rPr>
        <w:t xml:space="preserve"> and </w:t>
      </w:r>
      <w:r w:rsidRPr="000729B5">
        <w:rPr>
          <w:i/>
          <w:iCs/>
          <w:sz w:val="22"/>
          <w:szCs w:val="22"/>
        </w:rPr>
        <w:t>very satisfied (5)</w:t>
      </w:r>
      <w:r>
        <w:rPr>
          <w:i/>
          <w:iCs/>
          <w:sz w:val="22"/>
          <w:szCs w:val="22"/>
        </w:rPr>
        <w:t xml:space="preserve"> </w:t>
      </w:r>
      <w:r>
        <w:rPr>
          <w:sz w:val="22"/>
          <w:szCs w:val="22"/>
        </w:rPr>
        <w:t xml:space="preserve">on every question. Attendees were </w:t>
      </w:r>
      <w:r w:rsidR="00FC7838">
        <w:rPr>
          <w:sz w:val="22"/>
          <w:szCs w:val="22"/>
        </w:rPr>
        <w:t>very</w:t>
      </w:r>
      <w:r w:rsidR="00F1372F">
        <w:rPr>
          <w:sz w:val="22"/>
          <w:szCs w:val="22"/>
        </w:rPr>
        <w:t xml:space="preserve"> </w:t>
      </w:r>
      <w:r>
        <w:rPr>
          <w:sz w:val="22"/>
          <w:szCs w:val="22"/>
        </w:rPr>
        <w:t xml:space="preserve">satisfied with </w:t>
      </w:r>
      <w:r w:rsidR="008C3D69">
        <w:rPr>
          <w:sz w:val="22"/>
          <w:szCs w:val="22"/>
        </w:rPr>
        <w:t>the</w:t>
      </w:r>
      <w:r w:rsidR="00737BC9">
        <w:rPr>
          <w:sz w:val="22"/>
          <w:szCs w:val="22"/>
        </w:rPr>
        <w:t xml:space="preserve"> knowledge of the presenters (4.</w:t>
      </w:r>
      <w:r w:rsidR="00BE77FD">
        <w:rPr>
          <w:sz w:val="22"/>
          <w:szCs w:val="22"/>
        </w:rPr>
        <w:t>93</w:t>
      </w:r>
      <w:r w:rsidR="00737BC9">
        <w:rPr>
          <w:sz w:val="22"/>
          <w:szCs w:val="22"/>
        </w:rPr>
        <w:t>),</w:t>
      </w:r>
      <w:r w:rsidR="008C3D69">
        <w:rPr>
          <w:sz w:val="22"/>
          <w:szCs w:val="22"/>
        </w:rPr>
        <w:t xml:space="preserve"> training content (4.</w:t>
      </w:r>
      <w:r w:rsidR="00737BC9">
        <w:rPr>
          <w:sz w:val="22"/>
          <w:szCs w:val="22"/>
        </w:rPr>
        <w:t>7</w:t>
      </w:r>
      <w:r w:rsidR="00BE77FD">
        <w:rPr>
          <w:sz w:val="22"/>
          <w:szCs w:val="22"/>
        </w:rPr>
        <w:t>9</w:t>
      </w:r>
      <w:r w:rsidR="008C3D69">
        <w:rPr>
          <w:sz w:val="22"/>
          <w:szCs w:val="22"/>
        </w:rPr>
        <w:t>),</w:t>
      </w:r>
      <w:r w:rsidR="00BE77FD">
        <w:rPr>
          <w:sz w:val="22"/>
          <w:szCs w:val="22"/>
        </w:rPr>
        <w:t xml:space="preserve"> </w:t>
      </w:r>
      <w:r w:rsidR="0012597B">
        <w:rPr>
          <w:sz w:val="22"/>
          <w:szCs w:val="22"/>
        </w:rPr>
        <w:t>relevance of the training to their needs (4.</w:t>
      </w:r>
      <w:r w:rsidR="00BE77FD">
        <w:rPr>
          <w:sz w:val="22"/>
          <w:szCs w:val="22"/>
        </w:rPr>
        <w:t>79</w:t>
      </w:r>
      <w:r w:rsidR="0012597B">
        <w:rPr>
          <w:sz w:val="22"/>
          <w:szCs w:val="22"/>
        </w:rPr>
        <w:t>)</w:t>
      </w:r>
      <w:r w:rsidR="00BE77FD">
        <w:rPr>
          <w:sz w:val="22"/>
          <w:szCs w:val="22"/>
        </w:rPr>
        <w:t>,</w:t>
      </w:r>
      <w:r w:rsidR="00737BC9">
        <w:rPr>
          <w:sz w:val="22"/>
          <w:szCs w:val="22"/>
        </w:rPr>
        <w:t xml:space="preserve"> </w:t>
      </w:r>
      <w:r w:rsidR="00BE77FD">
        <w:rPr>
          <w:sz w:val="22"/>
          <w:szCs w:val="22"/>
        </w:rPr>
        <w:t>and engagement of the training (4.71)</w:t>
      </w:r>
      <w:r w:rsidR="004768BD">
        <w:rPr>
          <w:sz w:val="22"/>
          <w:szCs w:val="22"/>
        </w:rPr>
        <w:t>.</w:t>
      </w:r>
      <w:bookmarkStart w:id="0" w:name="_GoBack"/>
      <w:bookmarkEnd w:id="0"/>
    </w:p>
    <w:p w14:paraId="0F720E00" w14:textId="77777777" w:rsidR="00F77254" w:rsidRDefault="00F77254" w:rsidP="00984037">
      <w:pPr>
        <w:pStyle w:val="Default"/>
        <w:rPr>
          <w:sz w:val="22"/>
          <w:szCs w:val="22"/>
        </w:rPr>
      </w:pPr>
    </w:p>
    <w:p w14:paraId="5F690A00" w14:textId="7AD51497" w:rsidR="00E17F4A" w:rsidRDefault="00984037" w:rsidP="00984037">
      <w:pPr>
        <w:pStyle w:val="Default"/>
        <w:rPr>
          <w:sz w:val="22"/>
          <w:szCs w:val="22"/>
        </w:rPr>
      </w:pPr>
      <w:r>
        <w:rPr>
          <w:sz w:val="22"/>
          <w:szCs w:val="22"/>
        </w:rPr>
        <w:t xml:space="preserve">Attendees </w:t>
      </w:r>
      <w:r w:rsidR="004140BB">
        <w:rPr>
          <w:sz w:val="22"/>
          <w:szCs w:val="22"/>
        </w:rPr>
        <w:t xml:space="preserve">retrospectively </w:t>
      </w:r>
      <w:r>
        <w:rPr>
          <w:sz w:val="22"/>
          <w:szCs w:val="22"/>
        </w:rPr>
        <w:t xml:space="preserve">indicated how much they knew before and after </w:t>
      </w:r>
      <w:r w:rsidR="003C4B08">
        <w:rPr>
          <w:sz w:val="22"/>
          <w:szCs w:val="22"/>
        </w:rPr>
        <w:t>the</w:t>
      </w:r>
      <w:r>
        <w:rPr>
          <w:sz w:val="22"/>
          <w:szCs w:val="22"/>
        </w:rPr>
        <w:t xml:space="preserve"> training session for a series of</w:t>
      </w:r>
      <w:r w:rsidR="001C242C">
        <w:rPr>
          <w:sz w:val="22"/>
          <w:szCs w:val="22"/>
        </w:rPr>
        <w:t xml:space="preserve"> </w:t>
      </w:r>
      <w:r w:rsidR="005A7BE2">
        <w:rPr>
          <w:sz w:val="22"/>
          <w:szCs w:val="22"/>
        </w:rPr>
        <w:t>learning objectives</w:t>
      </w:r>
      <w:r>
        <w:rPr>
          <w:sz w:val="22"/>
          <w:szCs w:val="22"/>
        </w:rPr>
        <w:t xml:space="preserve">. Possible answers ranged from </w:t>
      </w:r>
      <w:r>
        <w:rPr>
          <w:i/>
          <w:iCs/>
          <w:sz w:val="22"/>
          <w:szCs w:val="22"/>
        </w:rPr>
        <w:t xml:space="preserve">nothing at all </w:t>
      </w:r>
      <w:r>
        <w:rPr>
          <w:sz w:val="22"/>
          <w:szCs w:val="22"/>
        </w:rPr>
        <w:t xml:space="preserve">(1) </w:t>
      </w:r>
      <w:r w:rsidR="00FF4F5C" w:rsidRPr="00FF4F5C">
        <w:rPr>
          <w:sz w:val="22"/>
          <w:szCs w:val="22"/>
        </w:rPr>
        <w:t>to</w:t>
      </w:r>
      <w:r w:rsidR="00FF4F5C">
        <w:rPr>
          <w:i/>
          <w:iCs/>
          <w:sz w:val="22"/>
          <w:szCs w:val="22"/>
        </w:rPr>
        <w:t xml:space="preserve"> </w:t>
      </w:r>
      <w:r>
        <w:rPr>
          <w:i/>
          <w:iCs/>
          <w:sz w:val="22"/>
          <w:szCs w:val="22"/>
        </w:rPr>
        <w:t xml:space="preserve">a whole lot </w:t>
      </w:r>
      <w:r>
        <w:rPr>
          <w:sz w:val="22"/>
          <w:szCs w:val="22"/>
        </w:rPr>
        <w:t>(4). On average, attendees reported knowing between</w:t>
      </w:r>
      <w:r w:rsidR="00847E1B">
        <w:rPr>
          <w:sz w:val="22"/>
          <w:szCs w:val="22"/>
        </w:rPr>
        <w:t xml:space="preserve"> </w:t>
      </w:r>
      <w:r w:rsidR="00847E1B" w:rsidRPr="00847E1B">
        <w:rPr>
          <w:i/>
          <w:sz w:val="22"/>
          <w:szCs w:val="22"/>
        </w:rPr>
        <w:t>little bit</w:t>
      </w:r>
      <w:r w:rsidR="006E4095" w:rsidRPr="00847E1B">
        <w:rPr>
          <w:i/>
          <w:iCs/>
          <w:sz w:val="22"/>
          <w:szCs w:val="22"/>
        </w:rPr>
        <w:t xml:space="preserve"> </w:t>
      </w:r>
      <w:r w:rsidR="00EB1EC2">
        <w:rPr>
          <w:sz w:val="22"/>
          <w:szCs w:val="22"/>
        </w:rPr>
        <w:t xml:space="preserve">to </w:t>
      </w:r>
      <w:r w:rsidR="00EB1EC2">
        <w:rPr>
          <w:i/>
          <w:iCs/>
          <w:sz w:val="22"/>
          <w:szCs w:val="22"/>
        </w:rPr>
        <w:t>a</w:t>
      </w:r>
      <w:r w:rsidR="002B380E">
        <w:rPr>
          <w:i/>
          <w:iCs/>
          <w:sz w:val="22"/>
          <w:szCs w:val="22"/>
        </w:rPr>
        <w:t xml:space="preserve"> </w:t>
      </w:r>
      <w:r w:rsidR="00EB1EC2">
        <w:rPr>
          <w:i/>
          <w:iCs/>
          <w:sz w:val="22"/>
          <w:szCs w:val="22"/>
        </w:rPr>
        <w:t xml:space="preserve">lot </w:t>
      </w:r>
      <w:r>
        <w:rPr>
          <w:sz w:val="22"/>
          <w:szCs w:val="22"/>
        </w:rPr>
        <w:t xml:space="preserve">before </w:t>
      </w:r>
      <w:r w:rsidR="008D7B51">
        <w:rPr>
          <w:sz w:val="22"/>
          <w:szCs w:val="22"/>
        </w:rPr>
        <w:t>the training</w:t>
      </w:r>
      <w:r>
        <w:rPr>
          <w:sz w:val="22"/>
          <w:szCs w:val="22"/>
        </w:rPr>
        <w:t xml:space="preserve"> (grand mean=</w:t>
      </w:r>
      <w:r w:rsidR="002B380E">
        <w:rPr>
          <w:sz w:val="22"/>
          <w:szCs w:val="22"/>
        </w:rPr>
        <w:t xml:space="preserve"> </w:t>
      </w:r>
      <w:r w:rsidR="001C5150">
        <w:rPr>
          <w:sz w:val="22"/>
          <w:szCs w:val="22"/>
        </w:rPr>
        <w:t>2.</w:t>
      </w:r>
      <w:r w:rsidR="006E4095">
        <w:rPr>
          <w:sz w:val="22"/>
          <w:szCs w:val="22"/>
        </w:rPr>
        <w:t>26</w:t>
      </w:r>
      <w:r>
        <w:rPr>
          <w:sz w:val="22"/>
          <w:szCs w:val="22"/>
        </w:rPr>
        <w:t xml:space="preserve">) and between </w:t>
      </w:r>
      <w:r w:rsidR="00847E1B">
        <w:rPr>
          <w:i/>
          <w:iCs/>
          <w:sz w:val="22"/>
          <w:szCs w:val="22"/>
        </w:rPr>
        <w:t>a lot</w:t>
      </w:r>
      <w:r w:rsidR="006E4095">
        <w:rPr>
          <w:i/>
          <w:iCs/>
          <w:sz w:val="22"/>
          <w:szCs w:val="22"/>
        </w:rPr>
        <w:t xml:space="preserve"> </w:t>
      </w:r>
      <w:r>
        <w:rPr>
          <w:sz w:val="22"/>
          <w:szCs w:val="22"/>
        </w:rPr>
        <w:t xml:space="preserve">to </w:t>
      </w:r>
      <w:r>
        <w:rPr>
          <w:i/>
          <w:iCs/>
          <w:sz w:val="22"/>
          <w:szCs w:val="22"/>
        </w:rPr>
        <w:t xml:space="preserve">a whole lot </w:t>
      </w:r>
      <w:r>
        <w:rPr>
          <w:sz w:val="22"/>
          <w:szCs w:val="22"/>
        </w:rPr>
        <w:t xml:space="preserve">after </w:t>
      </w:r>
      <w:r w:rsidR="008D7B51">
        <w:rPr>
          <w:sz w:val="22"/>
          <w:szCs w:val="22"/>
        </w:rPr>
        <w:t>the training</w:t>
      </w:r>
      <w:r>
        <w:rPr>
          <w:sz w:val="22"/>
          <w:szCs w:val="22"/>
        </w:rPr>
        <w:t xml:space="preserve"> (grand mean=3.</w:t>
      </w:r>
      <w:r w:rsidR="005A7BE2">
        <w:rPr>
          <w:sz w:val="22"/>
          <w:szCs w:val="22"/>
        </w:rPr>
        <w:t>5</w:t>
      </w:r>
      <w:r w:rsidR="006E4095">
        <w:rPr>
          <w:sz w:val="22"/>
          <w:szCs w:val="22"/>
        </w:rPr>
        <w:t>5</w:t>
      </w:r>
      <w:r w:rsidR="00BA36CE">
        <w:rPr>
          <w:sz w:val="22"/>
          <w:szCs w:val="22"/>
        </w:rPr>
        <w:t>, p</w:t>
      </w:r>
      <w:r w:rsidR="005A7BE2">
        <w:rPr>
          <w:sz w:val="22"/>
          <w:szCs w:val="22"/>
        </w:rPr>
        <w:t>&lt;0.001</w:t>
      </w:r>
      <w:r>
        <w:rPr>
          <w:sz w:val="22"/>
          <w:szCs w:val="22"/>
        </w:rPr>
        <w:t xml:space="preserve">). </w:t>
      </w:r>
      <w:r w:rsidR="004140BB">
        <w:rPr>
          <w:sz w:val="22"/>
          <w:szCs w:val="22"/>
        </w:rPr>
        <w:t>S</w:t>
      </w:r>
      <w:r w:rsidRPr="00460795">
        <w:rPr>
          <w:sz w:val="22"/>
          <w:szCs w:val="22"/>
        </w:rPr>
        <w:t xml:space="preserve">ignificant increases in knowledge </w:t>
      </w:r>
      <w:r w:rsidR="004140BB">
        <w:rPr>
          <w:sz w:val="22"/>
          <w:szCs w:val="22"/>
        </w:rPr>
        <w:t>emerged for</w:t>
      </w:r>
      <w:r w:rsidR="00CE7D06" w:rsidRPr="00460795">
        <w:rPr>
          <w:sz w:val="22"/>
          <w:szCs w:val="22"/>
        </w:rPr>
        <w:t xml:space="preserve"> </w:t>
      </w:r>
      <w:r w:rsidR="0022147E">
        <w:rPr>
          <w:sz w:val="22"/>
          <w:szCs w:val="22"/>
        </w:rPr>
        <w:t>most</w:t>
      </w:r>
      <w:r w:rsidR="00C441E1" w:rsidRPr="00460795">
        <w:rPr>
          <w:sz w:val="22"/>
          <w:szCs w:val="22"/>
        </w:rPr>
        <w:t xml:space="preserve"> </w:t>
      </w:r>
      <w:r w:rsidR="008D7B51" w:rsidRPr="00460795">
        <w:rPr>
          <w:sz w:val="22"/>
          <w:szCs w:val="22"/>
        </w:rPr>
        <w:t>learning objective</w:t>
      </w:r>
      <w:r w:rsidR="00C004D2" w:rsidRPr="00460795">
        <w:rPr>
          <w:sz w:val="22"/>
          <w:szCs w:val="22"/>
        </w:rPr>
        <w:t>s</w:t>
      </w:r>
      <w:r w:rsidR="008D7B51" w:rsidRPr="00460795">
        <w:rPr>
          <w:sz w:val="22"/>
          <w:szCs w:val="22"/>
        </w:rPr>
        <w:t xml:space="preserve"> </w:t>
      </w:r>
      <w:r w:rsidR="00B94C17">
        <w:rPr>
          <w:sz w:val="22"/>
          <w:szCs w:val="22"/>
        </w:rPr>
        <w:t>(Table 1)</w:t>
      </w:r>
      <w:r w:rsidR="00F9237A">
        <w:rPr>
          <w:sz w:val="22"/>
          <w:szCs w:val="22"/>
        </w:rPr>
        <w:t>. The largest increase</w:t>
      </w:r>
      <w:r w:rsidR="004140BB">
        <w:rPr>
          <w:sz w:val="22"/>
          <w:szCs w:val="22"/>
        </w:rPr>
        <w:t>s</w:t>
      </w:r>
      <w:r w:rsidRPr="00460795">
        <w:rPr>
          <w:sz w:val="22"/>
          <w:szCs w:val="22"/>
        </w:rPr>
        <w:t xml:space="preserve"> </w:t>
      </w:r>
      <w:r w:rsidR="00F9237A">
        <w:rPr>
          <w:sz w:val="22"/>
          <w:szCs w:val="22"/>
        </w:rPr>
        <w:t>w</w:t>
      </w:r>
      <w:r w:rsidR="004140BB">
        <w:rPr>
          <w:sz w:val="22"/>
          <w:szCs w:val="22"/>
        </w:rPr>
        <w:t>ere</w:t>
      </w:r>
      <w:r w:rsidR="00F9237A">
        <w:rPr>
          <w:sz w:val="22"/>
          <w:szCs w:val="22"/>
        </w:rPr>
        <w:t xml:space="preserve"> </w:t>
      </w:r>
      <w:r w:rsidRPr="00460795">
        <w:rPr>
          <w:sz w:val="22"/>
          <w:szCs w:val="22"/>
        </w:rPr>
        <w:t>in</w:t>
      </w:r>
      <w:r w:rsidR="00460795" w:rsidRPr="00460795">
        <w:rPr>
          <w:sz w:val="22"/>
          <w:szCs w:val="22"/>
        </w:rPr>
        <w:t xml:space="preserve"> </w:t>
      </w:r>
      <w:r w:rsidR="000D62B1">
        <w:rPr>
          <w:sz w:val="22"/>
          <w:szCs w:val="22"/>
        </w:rPr>
        <w:t>know</w:t>
      </w:r>
      <w:r w:rsidR="009D1E5E">
        <w:rPr>
          <w:sz w:val="22"/>
          <w:szCs w:val="22"/>
        </w:rPr>
        <w:t xml:space="preserve">ing </w:t>
      </w:r>
      <w:r w:rsidR="000D62B1">
        <w:rPr>
          <w:sz w:val="22"/>
          <w:szCs w:val="22"/>
        </w:rPr>
        <w:t>current kinship care related services, policies and culture</w:t>
      </w:r>
      <w:r w:rsidR="009D1E5E">
        <w:rPr>
          <w:sz w:val="22"/>
          <w:szCs w:val="22"/>
        </w:rPr>
        <w:t xml:space="preserve"> (p&lt;0.001), knowing </w:t>
      </w:r>
      <w:r w:rsidR="000D62B1">
        <w:rPr>
          <w:sz w:val="22"/>
          <w:szCs w:val="22"/>
        </w:rPr>
        <w:t xml:space="preserve">stigma and services for kinship families </w:t>
      </w:r>
      <w:r w:rsidR="009D1E5E">
        <w:rPr>
          <w:sz w:val="22"/>
          <w:szCs w:val="22"/>
        </w:rPr>
        <w:t xml:space="preserve">(p&lt;0.001), and </w:t>
      </w:r>
      <w:r w:rsidR="00926F41">
        <w:rPr>
          <w:sz w:val="22"/>
          <w:szCs w:val="22"/>
        </w:rPr>
        <w:t>clarify</w:t>
      </w:r>
      <w:r w:rsidR="009D1E5E">
        <w:rPr>
          <w:sz w:val="22"/>
          <w:szCs w:val="22"/>
        </w:rPr>
        <w:t xml:space="preserve">ing </w:t>
      </w:r>
      <w:r w:rsidR="006707A8">
        <w:rPr>
          <w:sz w:val="22"/>
          <w:szCs w:val="22"/>
        </w:rPr>
        <w:t>t</w:t>
      </w:r>
      <w:r w:rsidR="006707A8" w:rsidRPr="00E84CFB">
        <w:rPr>
          <w:sz w:val="22"/>
          <w:szCs w:val="22"/>
        </w:rPr>
        <w:t xml:space="preserve">he </w:t>
      </w:r>
      <w:r w:rsidR="006707A8">
        <w:rPr>
          <w:sz w:val="22"/>
          <w:szCs w:val="22"/>
        </w:rPr>
        <w:t>status of kinship care and meaning for young people and families</w:t>
      </w:r>
      <w:r w:rsidR="009D1E5E">
        <w:rPr>
          <w:sz w:val="22"/>
          <w:szCs w:val="22"/>
        </w:rPr>
        <w:t xml:space="preserve"> (p&lt;0.001).</w:t>
      </w:r>
    </w:p>
    <w:p w14:paraId="0A087407" w14:textId="0157DE41" w:rsidR="009C22AB" w:rsidRDefault="009C22AB" w:rsidP="00984037">
      <w:pPr>
        <w:pStyle w:val="Default"/>
        <w:rPr>
          <w:sz w:val="22"/>
          <w:szCs w:val="22"/>
          <w:lang w:eastAsia="zh-CN"/>
        </w:rPr>
      </w:pPr>
    </w:p>
    <w:p w14:paraId="22978459" w14:textId="295ED48F" w:rsidR="00F755F0" w:rsidRDefault="00F755F0" w:rsidP="00F755F0">
      <w:pPr>
        <w:pStyle w:val="Default"/>
        <w:rPr>
          <w:sz w:val="22"/>
          <w:szCs w:val="22"/>
        </w:rPr>
      </w:pPr>
      <w:r>
        <w:rPr>
          <w:sz w:val="22"/>
          <w:szCs w:val="22"/>
        </w:rPr>
        <w:t>Attendees rated how effective each program component</w:t>
      </w:r>
      <w:r w:rsidR="004140BB">
        <w:rPr>
          <w:sz w:val="22"/>
          <w:szCs w:val="22"/>
        </w:rPr>
        <w:t xml:space="preserve"> was</w:t>
      </w:r>
      <w:r>
        <w:rPr>
          <w:sz w:val="22"/>
          <w:szCs w:val="22"/>
        </w:rPr>
        <w:t xml:space="preserve"> in gaining a deeper understanding of the importan</w:t>
      </w:r>
      <w:r w:rsidR="004768BD">
        <w:rPr>
          <w:sz w:val="22"/>
          <w:szCs w:val="22"/>
        </w:rPr>
        <w:t>ce</w:t>
      </w:r>
      <w:r>
        <w:rPr>
          <w:sz w:val="22"/>
          <w:szCs w:val="22"/>
        </w:rPr>
        <w:t xml:space="preserve"> of </w:t>
      </w:r>
      <w:r w:rsidR="00BE77FD">
        <w:rPr>
          <w:sz w:val="22"/>
          <w:szCs w:val="22"/>
        </w:rPr>
        <w:t>kinship care in rural communities</w:t>
      </w:r>
      <w:r>
        <w:rPr>
          <w:sz w:val="22"/>
          <w:szCs w:val="22"/>
        </w:rPr>
        <w:t xml:space="preserve">. Possible answers ranged from </w:t>
      </w:r>
      <w:r w:rsidRPr="001C242C">
        <w:rPr>
          <w:i/>
          <w:sz w:val="22"/>
          <w:szCs w:val="22"/>
        </w:rPr>
        <w:t>not at all effective</w:t>
      </w:r>
      <w:r>
        <w:rPr>
          <w:sz w:val="22"/>
          <w:szCs w:val="22"/>
        </w:rPr>
        <w:t xml:space="preserve"> (1) </w:t>
      </w:r>
      <w:r w:rsidRPr="001C242C">
        <w:rPr>
          <w:i/>
          <w:sz w:val="22"/>
          <w:szCs w:val="22"/>
        </w:rPr>
        <w:t>to extremely effective</w:t>
      </w:r>
      <w:r>
        <w:rPr>
          <w:sz w:val="22"/>
          <w:szCs w:val="22"/>
        </w:rPr>
        <w:t xml:space="preserve"> (5). On average, attendees</w:t>
      </w:r>
      <w:r w:rsidR="00C532FB">
        <w:rPr>
          <w:sz w:val="22"/>
          <w:szCs w:val="22"/>
        </w:rPr>
        <w:t>’ answers</w:t>
      </w:r>
      <w:r>
        <w:rPr>
          <w:sz w:val="22"/>
          <w:szCs w:val="22"/>
        </w:rPr>
        <w:t xml:space="preserve"> </w:t>
      </w:r>
      <w:r w:rsidR="00C532FB">
        <w:rPr>
          <w:sz w:val="22"/>
          <w:szCs w:val="22"/>
        </w:rPr>
        <w:t xml:space="preserve">ranged </w:t>
      </w:r>
      <w:r w:rsidR="00BE77FD">
        <w:rPr>
          <w:sz w:val="22"/>
          <w:szCs w:val="22"/>
        </w:rPr>
        <w:t>from</w:t>
      </w:r>
      <w:r w:rsidR="00C532FB">
        <w:rPr>
          <w:sz w:val="22"/>
          <w:szCs w:val="22"/>
        </w:rPr>
        <w:t xml:space="preserve"> </w:t>
      </w:r>
      <w:r w:rsidR="00BE77FD">
        <w:rPr>
          <w:sz w:val="22"/>
          <w:szCs w:val="22"/>
        </w:rPr>
        <w:t xml:space="preserve">moderately effective to </w:t>
      </w:r>
      <w:r>
        <w:rPr>
          <w:sz w:val="22"/>
          <w:szCs w:val="22"/>
        </w:rPr>
        <w:t xml:space="preserve">extremely effective on </w:t>
      </w:r>
      <w:r w:rsidR="00C532FB">
        <w:rPr>
          <w:sz w:val="22"/>
          <w:szCs w:val="22"/>
        </w:rPr>
        <w:t>e</w:t>
      </w:r>
      <w:r w:rsidR="008B3516">
        <w:rPr>
          <w:sz w:val="22"/>
          <w:szCs w:val="22"/>
        </w:rPr>
        <w:t>very</w:t>
      </w:r>
      <w:r>
        <w:rPr>
          <w:sz w:val="22"/>
          <w:szCs w:val="22"/>
        </w:rPr>
        <w:t xml:space="preserve"> </w:t>
      </w:r>
      <w:r w:rsidR="00C532FB">
        <w:rPr>
          <w:sz w:val="22"/>
          <w:szCs w:val="22"/>
        </w:rPr>
        <w:t>question.</w:t>
      </w:r>
      <w:r>
        <w:rPr>
          <w:sz w:val="22"/>
          <w:szCs w:val="22"/>
        </w:rPr>
        <w:t xml:space="preserve"> </w:t>
      </w:r>
      <w:r w:rsidR="007412E6">
        <w:rPr>
          <w:sz w:val="22"/>
          <w:szCs w:val="22"/>
        </w:rPr>
        <w:t xml:space="preserve">Attendees reported </w:t>
      </w:r>
      <w:r w:rsidR="008B3516">
        <w:rPr>
          <w:sz w:val="22"/>
          <w:szCs w:val="22"/>
        </w:rPr>
        <w:t xml:space="preserve">that </w:t>
      </w:r>
      <w:r w:rsidR="004768BD">
        <w:rPr>
          <w:sz w:val="22"/>
          <w:szCs w:val="22"/>
        </w:rPr>
        <w:t xml:space="preserve">the </w:t>
      </w:r>
      <w:r w:rsidR="002D4C05">
        <w:rPr>
          <w:sz w:val="22"/>
          <w:szCs w:val="22"/>
        </w:rPr>
        <w:t xml:space="preserve">two panel discussions </w:t>
      </w:r>
      <w:r w:rsidR="008B3516">
        <w:rPr>
          <w:sz w:val="22"/>
          <w:szCs w:val="22"/>
        </w:rPr>
        <w:t xml:space="preserve">were extremely effective </w:t>
      </w:r>
      <w:r w:rsidR="002D4C05">
        <w:rPr>
          <w:sz w:val="22"/>
          <w:szCs w:val="22"/>
        </w:rPr>
        <w:t xml:space="preserve">in </w:t>
      </w:r>
      <w:r w:rsidR="006B6578">
        <w:rPr>
          <w:sz w:val="22"/>
          <w:szCs w:val="22"/>
        </w:rPr>
        <w:t xml:space="preserve">developing </w:t>
      </w:r>
      <w:r w:rsidR="002D4C05">
        <w:rPr>
          <w:sz w:val="22"/>
          <w:szCs w:val="22"/>
        </w:rPr>
        <w:t xml:space="preserve">a deeper understanding of the important of </w:t>
      </w:r>
      <w:r w:rsidR="00BE77FD">
        <w:rPr>
          <w:sz w:val="22"/>
          <w:szCs w:val="22"/>
        </w:rPr>
        <w:t xml:space="preserve">kinship care in rural communities </w:t>
      </w:r>
      <w:r w:rsidR="002D4C05">
        <w:rPr>
          <w:sz w:val="22"/>
          <w:szCs w:val="22"/>
        </w:rPr>
        <w:t>(mean 4.5</w:t>
      </w:r>
      <w:r w:rsidR="00BE77FD">
        <w:rPr>
          <w:sz w:val="22"/>
          <w:szCs w:val="22"/>
        </w:rPr>
        <w:t>7</w:t>
      </w:r>
      <w:r w:rsidR="008B3516">
        <w:rPr>
          <w:sz w:val="22"/>
          <w:szCs w:val="22"/>
        </w:rPr>
        <w:t xml:space="preserve"> and </w:t>
      </w:r>
      <w:r w:rsidR="002D4C05">
        <w:rPr>
          <w:sz w:val="22"/>
          <w:szCs w:val="22"/>
        </w:rPr>
        <w:t>4.</w:t>
      </w:r>
      <w:r w:rsidR="00BE77FD">
        <w:rPr>
          <w:sz w:val="22"/>
          <w:szCs w:val="22"/>
        </w:rPr>
        <w:t>50</w:t>
      </w:r>
      <w:r w:rsidR="002D4C05">
        <w:rPr>
          <w:sz w:val="22"/>
          <w:szCs w:val="22"/>
        </w:rPr>
        <w:t>).</w:t>
      </w:r>
    </w:p>
    <w:p w14:paraId="5AE33C33" w14:textId="77777777" w:rsidR="00B94C17" w:rsidRDefault="00B94C17" w:rsidP="00984037">
      <w:pPr>
        <w:pStyle w:val="Default"/>
        <w:rPr>
          <w:sz w:val="22"/>
          <w:szCs w:val="22"/>
        </w:rPr>
      </w:pPr>
    </w:p>
    <w:p w14:paraId="4E3631BA" w14:textId="77777777" w:rsidR="004140BB" w:rsidRDefault="004140BB">
      <w:pPr>
        <w:rPr>
          <w:rFonts w:ascii="Calibri" w:hAnsi="Calibri" w:cs="Calibri"/>
          <w:b/>
          <w:color w:val="000000"/>
        </w:rPr>
      </w:pPr>
      <w:r>
        <w:rPr>
          <w:b/>
        </w:rPr>
        <w:br w:type="page"/>
      </w:r>
    </w:p>
    <w:p w14:paraId="3480D24F" w14:textId="2A8512FD" w:rsidR="00B72708" w:rsidRPr="00B94C17" w:rsidRDefault="00B94C17" w:rsidP="00984037">
      <w:pPr>
        <w:pStyle w:val="Default"/>
        <w:rPr>
          <w:b/>
          <w:sz w:val="22"/>
          <w:szCs w:val="22"/>
        </w:rPr>
      </w:pPr>
      <w:r w:rsidRPr="00B94C17">
        <w:rPr>
          <w:b/>
          <w:sz w:val="22"/>
          <w:szCs w:val="22"/>
        </w:rPr>
        <w:lastRenderedPageBreak/>
        <w:t>Table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214"/>
        <w:gridCol w:w="1214"/>
        <w:gridCol w:w="1214"/>
        <w:gridCol w:w="1215"/>
      </w:tblGrid>
      <w:tr w:rsidR="00235496" w:rsidRPr="00066FC5" w14:paraId="75B1C5C5" w14:textId="77777777" w:rsidTr="00E84CFB">
        <w:trPr>
          <w:trHeight w:val="328"/>
        </w:trPr>
        <w:tc>
          <w:tcPr>
            <w:tcW w:w="4500" w:type="dxa"/>
            <w:tcBorders>
              <w:top w:val="single" w:sz="4" w:space="0" w:color="auto"/>
              <w:bottom w:val="single" w:sz="4" w:space="0" w:color="auto"/>
            </w:tcBorders>
          </w:tcPr>
          <w:p w14:paraId="61E362EB" w14:textId="78FF9D12" w:rsidR="00B72708" w:rsidRPr="00066FC5" w:rsidRDefault="00B72708" w:rsidP="00B72708">
            <w:pPr>
              <w:pStyle w:val="Default"/>
              <w:jc w:val="center"/>
              <w:rPr>
                <w:b/>
                <w:sz w:val="22"/>
                <w:szCs w:val="22"/>
              </w:rPr>
            </w:pPr>
            <w:r w:rsidRPr="00066FC5">
              <w:rPr>
                <w:b/>
                <w:sz w:val="22"/>
                <w:szCs w:val="22"/>
              </w:rPr>
              <w:t>Learning Objectives</w:t>
            </w:r>
          </w:p>
        </w:tc>
        <w:tc>
          <w:tcPr>
            <w:tcW w:w="1214" w:type="dxa"/>
            <w:tcBorders>
              <w:top w:val="single" w:sz="4" w:space="0" w:color="auto"/>
              <w:bottom w:val="single" w:sz="4" w:space="0" w:color="auto"/>
            </w:tcBorders>
          </w:tcPr>
          <w:p w14:paraId="6B56C91B" w14:textId="0562FFEA" w:rsidR="00B72708" w:rsidRPr="00066FC5" w:rsidRDefault="00B72708" w:rsidP="00B72708">
            <w:pPr>
              <w:pStyle w:val="Default"/>
              <w:jc w:val="center"/>
              <w:rPr>
                <w:b/>
                <w:sz w:val="22"/>
                <w:szCs w:val="22"/>
              </w:rPr>
            </w:pPr>
            <w:r w:rsidRPr="00066FC5">
              <w:rPr>
                <w:b/>
                <w:sz w:val="22"/>
                <w:szCs w:val="22"/>
              </w:rPr>
              <w:t>Pre-Score</w:t>
            </w:r>
          </w:p>
        </w:tc>
        <w:tc>
          <w:tcPr>
            <w:tcW w:w="1214" w:type="dxa"/>
            <w:tcBorders>
              <w:top w:val="single" w:sz="4" w:space="0" w:color="auto"/>
              <w:bottom w:val="single" w:sz="4" w:space="0" w:color="auto"/>
            </w:tcBorders>
          </w:tcPr>
          <w:p w14:paraId="7B6DF4AF" w14:textId="66710691" w:rsidR="00B72708" w:rsidRPr="00066FC5" w:rsidRDefault="00B72708" w:rsidP="00B72708">
            <w:pPr>
              <w:pStyle w:val="Default"/>
              <w:jc w:val="center"/>
              <w:rPr>
                <w:b/>
                <w:sz w:val="22"/>
                <w:szCs w:val="22"/>
              </w:rPr>
            </w:pPr>
            <w:r w:rsidRPr="00066FC5">
              <w:rPr>
                <w:b/>
                <w:sz w:val="22"/>
                <w:szCs w:val="22"/>
              </w:rPr>
              <w:t>Post-Score</w:t>
            </w:r>
          </w:p>
        </w:tc>
        <w:tc>
          <w:tcPr>
            <w:tcW w:w="1214" w:type="dxa"/>
            <w:tcBorders>
              <w:top w:val="single" w:sz="4" w:space="0" w:color="auto"/>
              <w:bottom w:val="single" w:sz="4" w:space="0" w:color="auto"/>
            </w:tcBorders>
          </w:tcPr>
          <w:p w14:paraId="4450E2B9" w14:textId="6942906E" w:rsidR="00B72708" w:rsidRPr="00066FC5" w:rsidRDefault="00B72708" w:rsidP="00B72708">
            <w:pPr>
              <w:pStyle w:val="Default"/>
              <w:jc w:val="center"/>
              <w:rPr>
                <w:b/>
                <w:sz w:val="22"/>
                <w:szCs w:val="22"/>
              </w:rPr>
            </w:pPr>
            <w:r w:rsidRPr="00066FC5">
              <w:rPr>
                <w:b/>
                <w:sz w:val="22"/>
                <w:szCs w:val="22"/>
              </w:rPr>
              <w:t>Mean Difference</w:t>
            </w:r>
          </w:p>
        </w:tc>
        <w:tc>
          <w:tcPr>
            <w:tcW w:w="1215" w:type="dxa"/>
            <w:tcBorders>
              <w:top w:val="single" w:sz="4" w:space="0" w:color="auto"/>
              <w:bottom w:val="single" w:sz="4" w:space="0" w:color="auto"/>
            </w:tcBorders>
          </w:tcPr>
          <w:p w14:paraId="6E16A480" w14:textId="4AFEFE6F" w:rsidR="00B72708" w:rsidRPr="00066FC5" w:rsidRDefault="00B72708" w:rsidP="00B72708">
            <w:pPr>
              <w:pStyle w:val="Default"/>
              <w:jc w:val="center"/>
              <w:rPr>
                <w:b/>
                <w:sz w:val="22"/>
                <w:szCs w:val="22"/>
              </w:rPr>
            </w:pPr>
            <w:r w:rsidRPr="00066FC5">
              <w:rPr>
                <w:b/>
                <w:sz w:val="22"/>
                <w:szCs w:val="22"/>
              </w:rPr>
              <w:t>p-value</w:t>
            </w:r>
          </w:p>
        </w:tc>
      </w:tr>
      <w:tr w:rsidR="00235496" w:rsidRPr="00066FC5" w14:paraId="49689D2D" w14:textId="77777777" w:rsidTr="00E84CFB">
        <w:trPr>
          <w:trHeight w:val="328"/>
        </w:trPr>
        <w:tc>
          <w:tcPr>
            <w:tcW w:w="4500" w:type="dxa"/>
            <w:tcBorders>
              <w:top w:val="single" w:sz="4" w:space="0" w:color="auto"/>
            </w:tcBorders>
          </w:tcPr>
          <w:p w14:paraId="3FFD1FC3" w14:textId="46E809E5" w:rsidR="00B72708" w:rsidRPr="00E84CFB" w:rsidRDefault="00E84CFB" w:rsidP="007C7F0D">
            <w:pPr>
              <w:pStyle w:val="Default"/>
              <w:rPr>
                <w:sz w:val="22"/>
                <w:szCs w:val="22"/>
              </w:rPr>
            </w:pPr>
            <w:r w:rsidRPr="00E84CFB">
              <w:rPr>
                <w:sz w:val="22"/>
                <w:szCs w:val="22"/>
              </w:rPr>
              <w:t xml:space="preserve">The </w:t>
            </w:r>
            <w:r w:rsidR="00811A30">
              <w:rPr>
                <w:sz w:val="22"/>
                <w:szCs w:val="22"/>
              </w:rPr>
              <w:t>status of kinship care and meaning for young people and families</w:t>
            </w:r>
          </w:p>
        </w:tc>
        <w:tc>
          <w:tcPr>
            <w:tcW w:w="1214" w:type="dxa"/>
            <w:tcBorders>
              <w:top w:val="single" w:sz="4" w:space="0" w:color="auto"/>
            </w:tcBorders>
          </w:tcPr>
          <w:p w14:paraId="6CB845CB" w14:textId="62ADDE59" w:rsidR="00B72708" w:rsidRPr="00066FC5" w:rsidRDefault="00BE77FD" w:rsidP="007C7F0D">
            <w:pPr>
              <w:pStyle w:val="Default"/>
              <w:jc w:val="center"/>
              <w:rPr>
                <w:sz w:val="22"/>
                <w:szCs w:val="22"/>
              </w:rPr>
            </w:pPr>
            <w:r>
              <w:rPr>
                <w:sz w:val="22"/>
                <w:szCs w:val="22"/>
              </w:rPr>
              <w:t>2.36</w:t>
            </w:r>
          </w:p>
        </w:tc>
        <w:tc>
          <w:tcPr>
            <w:tcW w:w="1214" w:type="dxa"/>
            <w:tcBorders>
              <w:top w:val="single" w:sz="4" w:space="0" w:color="auto"/>
            </w:tcBorders>
          </w:tcPr>
          <w:p w14:paraId="745A614C" w14:textId="2FC05667" w:rsidR="00B72708" w:rsidRPr="00066FC5" w:rsidRDefault="00B72708" w:rsidP="007C7F0D">
            <w:pPr>
              <w:pStyle w:val="Default"/>
              <w:jc w:val="center"/>
              <w:rPr>
                <w:sz w:val="22"/>
                <w:szCs w:val="22"/>
              </w:rPr>
            </w:pPr>
            <w:r w:rsidRPr="00066FC5">
              <w:rPr>
                <w:sz w:val="22"/>
                <w:szCs w:val="22"/>
              </w:rPr>
              <w:t>3.</w:t>
            </w:r>
            <w:r w:rsidR="00BE77FD">
              <w:rPr>
                <w:sz w:val="22"/>
                <w:szCs w:val="22"/>
              </w:rPr>
              <w:t>57</w:t>
            </w:r>
          </w:p>
        </w:tc>
        <w:tc>
          <w:tcPr>
            <w:tcW w:w="1214" w:type="dxa"/>
            <w:tcBorders>
              <w:top w:val="single" w:sz="4" w:space="0" w:color="auto"/>
            </w:tcBorders>
          </w:tcPr>
          <w:p w14:paraId="4A5397D2" w14:textId="0759D518" w:rsidR="00B72708" w:rsidRPr="00066FC5" w:rsidRDefault="00E84CFB" w:rsidP="007C7F0D">
            <w:pPr>
              <w:pStyle w:val="Default"/>
              <w:jc w:val="center"/>
              <w:rPr>
                <w:sz w:val="22"/>
                <w:szCs w:val="22"/>
              </w:rPr>
            </w:pPr>
            <w:r>
              <w:rPr>
                <w:sz w:val="22"/>
                <w:szCs w:val="22"/>
              </w:rPr>
              <w:t>1.</w:t>
            </w:r>
            <w:r w:rsidR="00BE77FD">
              <w:rPr>
                <w:sz w:val="22"/>
                <w:szCs w:val="22"/>
              </w:rPr>
              <w:t>21</w:t>
            </w:r>
          </w:p>
        </w:tc>
        <w:tc>
          <w:tcPr>
            <w:tcW w:w="1215" w:type="dxa"/>
            <w:tcBorders>
              <w:top w:val="single" w:sz="4" w:space="0" w:color="auto"/>
            </w:tcBorders>
          </w:tcPr>
          <w:p w14:paraId="03F42CD5" w14:textId="6A15C333" w:rsidR="00B72708" w:rsidRPr="00066FC5" w:rsidRDefault="00802038" w:rsidP="007C7F0D">
            <w:pPr>
              <w:pStyle w:val="Default"/>
              <w:jc w:val="center"/>
              <w:rPr>
                <w:sz w:val="22"/>
                <w:szCs w:val="22"/>
              </w:rPr>
            </w:pPr>
            <w:r>
              <w:rPr>
                <w:sz w:val="22"/>
                <w:szCs w:val="22"/>
              </w:rPr>
              <w:t>&lt;0.001</w:t>
            </w:r>
          </w:p>
        </w:tc>
      </w:tr>
      <w:tr w:rsidR="00B72708" w:rsidRPr="00066FC5" w14:paraId="34265C6C" w14:textId="77777777" w:rsidTr="00E84CFB">
        <w:trPr>
          <w:trHeight w:val="328"/>
        </w:trPr>
        <w:tc>
          <w:tcPr>
            <w:tcW w:w="4500" w:type="dxa"/>
          </w:tcPr>
          <w:p w14:paraId="4D62B139" w14:textId="669B64E3" w:rsidR="00B72708" w:rsidRPr="00E84CFB" w:rsidRDefault="00811A30" w:rsidP="007C7F0D">
            <w:pPr>
              <w:pStyle w:val="Default"/>
              <w:rPr>
                <w:sz w:val="22"/>
                <w:szCs w:val="22"/>
              </w:rPr>
            </w:pPr>
            <w:r>
              <w:rPr>
                <w:sz w:val="22"/>
                <w:szCs w:val="22"/>
              </w:rPr>
              <w:t>Stigma and services for kinship families</w:t>
            </w:r>
          </w:p>
        </w:tc>
        <w:tc>
          <w:tcPr>
            <w:tcW w:w="1214" w:type="dxa"/>
          </w:tcPr>
          <w:p w14:paraId="5E35A46F" w14:textId="346302BE" w:rsidR="00B72708" w:rsidRPr="00066FC5" w:rsidRDefault="00BE77FD" w:rsidP="007C7F0D">
            <w:pPr>
              <w:pStyle w:val="Default"/>
              <w:jc w:val="center"/>
              <w:rPr>
                <w:sz w:val="22"/>
                <w:szCs w:val="22"/>
              </w:rPr>
            </w:pPr>
            <w:r>
              <w:rPr>
                <w:sz w:val="22"/>
                <w:szCs w:val="22"/>
              </w:rPr>
              <w:t>2.29</w:t>
            </w:r>
          </w:p>
        </w:tc>
        <w:tc>
          <w:tcPr>
            <w:tcW w:w="1214" w:type="dxa"/>
          </w:tcPr>
          <w:p w14:paraId="4AF2102A" w14:textId="5AD7B004" w:rsidR="00B72708" w:rsidRPr="00066FC5" w:rsidRDefault="00B72708" w:rsidP="007C7F0D">
            <w:pPr>
              <w:pStyle w:val="Default"/>
              <w:jc w:val="center"/>
              <w:rPr>
                <w:sz w:val="22"/>
                <w:szCs w:val="22"/>
              </w:rPr>
            </w:pPr>
            <w:r w:rsidRPr="00066FC5">
              <w:rPr>
                <w:sz w:val="22"/>
                <w:szCs w:val="22"/>
              </w:rPr>
              <w:t>3.</w:t>
            </w:r>
            <w:r w:rsidR="00BE77FD">
              <w:rPr>
                <w:sz w:val="22"/>
                <w:szCs w:val="22"/>
              </w:rPr>
              <w:t>57</w:t>
            </w:r>
          </w:p>
        </w:tc>
        <w:tc>
          <w:tcPr>
            <w:tcW w:w="1214" w:type="dxa"/>
          </w:tcPr>
          <w:p w14:paraId="4362ECEE" w14:textId="4B3CEE9E" w:rsidR="00B72708" w:rsidRPr="00066FC5" w:rsidRDefault="00E84CFB" w:rsidP="007C7F0D">
            <w:pPr>
              <w:pStyle w:val="Default"/>
              <w:jc w:val="center"/>
              <w:rPr>
                <w:sz w:val="22"/>
                <w:szCs w:val="22"/>
              </w:rPr>
            </w:pPr>
            <w:r>
              <w:rPr>
                <w:sz w:val="22"/>
                <w:szCs w:val="22"/>
              </w:rPr>
              <w:t>1.2</w:t>
            </w:r>
            <w:r w:rsidR="00E66149">
              <w:rPr>
                <w:sz w:val="22"/>
                <w:szCs w:val="22"/>
              </w:rPr>
              <w:t>8</w:t>
            </w:r>
          </w:p>
        </w:tc>
        <w:tc>
          <w:tcPr>
            <w:tcW w:w="1215" w:type="dxa"/>
          </w:tcPr>
          <w:p w14:paraId="45283FDA" w14:textId="072C9AE5" w:rsidR="00B72708" w:rsidRPr="00066FC5" w:rsidRDefault="00802038" w:rsidP="007C7F0D">
            <w:pPr>
              <w:pStyle w:val="Default"/>
              <w:jc w:val="center"/>
              <w:rPr>
                <w:sz w:val="22"/>
                <w:szCs w:val="22"/>
              </w:rPr>
            </w:pPr>
            <w:r>
              <w:rPr>
                <w:sz w:val="22"/>
                <w:szCs w:val="22"/>
              </w:rPr>
              <w:t>&lt;0.001</w:t>
            </w:r>
          </w:p>
        </w:tc>
      </w:tr>
      <w:tr w:rsidR="00235496" w:rsidRPr="00066FC5" w14:paraId="2B372930" w14:textId="77777777" w:rsidTr="00E84CFB">
        <w:trPr>
          <w:trHeight w:val="316"/>
        </w:trPr>
        <w:tc>
          <w:tcPr>
            <w:tcW w:w="4500" w:type="dxa"/>
            <w:tcBorders>
              <w:bottom w:val="single" w:sz="4" w:space="0" w:color="auto"/>
            </w:tcBorders>
          </w:tcPr>
          <w:p w14:paraId="3EB466FD" w14:textId="7286E601" w:rsidR="00B72708" w:rsidRPr="00E84CFB" w:rsidRDefault="00811A30" w:rsidP="007C7F0D">
            <w:pPr>
              <w:pStyle w:val="Default"/>
              <w:rPr>
                <w:sz w:val="22"/>
                <w:szCs w:val="22"/>
              </w:rPr>
            </w:pPr>
            <w:r>
              <w:rPr>
                <w:sz w:val="22"/>
                <w:szCs w:val="22"/>
              </w:rPr>
              <w:t>Current kinship care related services, policies and culture</w:t>
            </w:r>
          </w:p>
        </w:tc>
        <w:tc>
          <w:tcPr>
            <w:tcW w:w="1214" w:type="dxa"/>
            <w:tcBorders>
              <w:bottom w:val="single" w:sz="4" w:space="0" w:color="auto"/>
            </w:tcBorders>
          </w:tcPr>
          <w:p w14:paraId="29DFC3E4" w14:textId="7278D580" w:rsidR="00B72708" w:rsidRPr="00066FC5" w:rsidRDefault="00BE77FD" w:rsidP="007C7F0D">
            <w:pPr>
              <w:pStyle w:val="Default"/>
              <w:jc w:val="center"/>
              <w:rPr>
                <w:sz w:val="22"/>
                <w:szCs w:val="22"/>
              </w:rPr>
            </w:pPr>
            <w:r>
              <w:rPr>
                <w:sz w:val="22"/>
                <w:szCs w:val="22"/>
              </w:rPr>
              <w:t>2.14</w:t>
            </w:r>
          </w:p>
        </w:tc>
        <w:tc>
          <w:tcPr>
            <w:tcW w:w="1214" w:type="dxa"/>
            <w:tcBorders>
              <w:bottom w:val="single" w:sz="4" w:space="0" w:color="auto"/>
            </w:tcBorders>
          </w:tcPr>
          <w:p w14:paraId="086ABC5A" w14:textId="6BECE481" w:rsidR="00B72708" w:rsidRPr="00066FC5" w:rsidRDefault="00B72708" w:rsidP="007C7F0D">
            <w:pPr>
              <w:pStyle w:val="Default"/>
              <w:jc w:val="center"/>
              <w:rPr>
                <w:sz w:val="22"/>
                <w:szCs w:val="22"/>
              </w:rPr>
            </w:pPr>
            <w:r w:rsidRPr="00066FC5">
              <w:rPr>
                <w:sz w:val="22"/>
                <w:szCs w:val="22"/>
              </w:rPr>
              <w:t>3.</w:t>
            </w:r>
            <w:r w:rsidR="00BE77FD">
              <w:rPr>
                <w:sz w:val="22"/>
                <w:szCs w:val="22"/>
              </w:rPr>
              <w:t>50</w:t>
            </w:r>
          </w:p>
        </w:tc>
        <w:tc>
          <w:tcPr>
            <w:tcW w:w="1214" w:type="dxa"/>
            <w:tcBorders>
              <w:bottom w:val="single" w:sz="4" w:space="0" w:color="auto"/>
            </w:tcBorders>
          </w:tcPr>
          <w:p w14:paraId="01C876DB" w14:textId="0D632EFA" w:rsidR="00B72708" w:rsidRPr="00066FC5" w:rsidRDefault="00E84CFB" w:rsidP="007C7F0D">
            <w:pPr>
              <w:pStyle w:val="Default"/>
              <w:jc w:val="center"/>
              <w:rPr>
                <w:sz w:val="22"/>
                <w:szCs w:val="22"/>
              </w:rPr>
            </w:pPr>
            <w:r>
              <w:rPr>
                <w:sz w:val="22"/>
                <w:szCs w:val="22"/>
              </w:rPr>
              <w:t>1.</w:t>
            </w:r>
            <w:r w:rsidR="00E66149">
              <w:rPr>
                <w:sz w:val="22"/>
                <w:szCs w:val="22"/>
              </w:rPr>
              <w:t>36</w:t>
            </w:r>
          </w:p>
        </w:tc>
        <w:tc>
          <w:tcPr>
            <w:tcW w:w="1215" w:type="dxa"/>
            <w:tcBorders>
              <w:bottom w:val="single" w:sz="4" w:space="0" w:color="auto"/>
            </w:tcBorders>
          </w:tcPr>
          <w:p w14:paraId="02845ED8" w14:textId="3D517830" w:rsidR="00B72708" w:rsidRPr="00066FC5" w:rsidRDefault="00802038" w:rsidP="007C7F0D">
            <w:pPr>
              <w:pStyle w:val="Default"/>
              <w:jc w:val="center"/>
              <w:rPr>
                <w:sz w:val="22"/>
                <w:szCs w:val="22"/>
              </w:rPr>
            </w:pPr>
            <w:r>
              <w:rPr>
                <w:sz w:val="22"/>
                <w:szCs w:val="22"/>
              </w:rPr>
              <w:t>&lt;0.001</w:t>
            </w:r>
          </w:p>
        </w:tc>
      </w:tr>
    </w:tbl>
    <w:p w14:paraId="2040F526" w14:textId="5EC90747" w:rsidR="00FA0E01" w:rsidRDefault="00FA0E01" w:rsidP="00FA0E01">
      <w:pPr>
        <w:pStyle w:val="Heading1"/>
      </w:pPr>
      <w:r>
        <w:t xml:space="preserve">Suggestions from Attendees </w:t>
      </w:r>
    </w:p>
    <w:p w14:paraId="49AD82AF" w14:textId="3D62C53B" w:rsidR="0012597B" w:rsidRPr="00BD2910" w:rsidRDefault="00823506" w:rsidP="00BD2910">
      <w:pPr>
        <w:pStyle w:val="Default"/>
        <w:rPr>
          <w:sz w:val="22"/>
          <w:szCs w:val="22"/>
        </w:rPr>
      </w:pPr>
      <w:r>
        <w:rPr>
          <w:sz w:val="22"/>
          <w:szCs w:val="22"/>
        </w:rPr>
        <w:t xml:space="preserve">Attendees were asked to provide insight on how future </w:t>
      </w:r>
      <w:r w:rsidR="002434EC">
        <w:rPr>
          <w:sz w:val="22"/>
          <w:szCs w:val="22"/>
        </w:rPr>
        <w:t xml:space="preserve">meetings </w:t>
      </w:r>
      <w:r>
        <w:rPr>
          <w:sz w:val="22"/>
          <w:szCs w:val="22"/>
        </w:rPr>
        <w:t>may be improved. Most attendees had no recommendations</w:t>
      </w:r>
      <w:r w:rsidR="0080304E">
        <w:rPr>
          <w:sz w:val="22"/>
          <w:szCs w:val="22"/>
        </w:rPr>
        <w:t xml:space="preserve">. </w:t>
      </w:r>
      <w:r w:rsidR="006B6578">
        <w:rPr>
          <w:sz w:val="22"/>
          <w:szCs w:val="22"/>
        </w:rPr>
        <w:t>Of the few responses, some</w:t>
      </w:r>
      <w:r w:rsidR="0080304E">
        <w:rPr>
          <w:sz w:val="22"/>
          <w:szCs w:val="22"/>
        </w:rPr>
        <w:t xml:space="preserve"> preferred</w:t>
      </w:r>
      <w:r w:rsidR="00E66149">
        <w:rPr>
          <w:sz w:val="22"/>
          <w:szCs w:val="22"/>
        </w:rPr>
        <w:t xml:space="preserve"> more emphasis on gaps and potential solutions</w:t>
      </w:r>
      <w:r w:rsidR="0080304E">
        <w:rPr>
          <w:sz w:val="22"/>
          <w:szCs w:val="22"/>
        </w:rPr>
        <w:t>, more</w:t>
      </w:r>
      <w:r w:rsidR="00E66149">
        <w:rPr>
          <w:sz w:val="22"/>
          <w:szCs w:val="22"/>
        </w:rPr>
        <w:t xml:space="preserve"> presenters and longer training</w:t>
      </w:r>
      <w:r w:rsidR="0080304E">
        <w:rPr>
          <w:sz w:val="22"/>
          <w:szCs w:val="22"/>
        </w:rPr>
        <w:t xml:space="preserve">, and </w:t>
      </w:r>
      <w:r w:rsidR="00E66149">
        <w:rPr>
          <w:sz w:val="22"/>
          <w:szCs w:val="22"/>
        </w:rPr>
        <w:t xml:space="preserve">more time for speakers to share their experiences. </w:t>
      </w:r>
    </w:p>
    <w:sectPr w:rsidR="0012597B" w:rsidRPr="00BD2910" w:rsidSect="001B0D8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9802E" w14:textId="77777777" w:rsidR="00114E6E" w:rsidRDefault="00114E6E" w:rsidP="00AD0766">
      <w:pPr>
        <w:spacing w:after="0" w:line="240" w:lineRule="auto"/>
      </w:pPr>
      <w:r>
        <w:separator/>
      </w:r>
    </w:p>
  </w:endnote>
  <w:endnote w:type="continuationSeparator" w:id="0">
    <w:p w14:paraId="20C9F758" w14:textId="77777777" w:rsidR="00114E6E" w:rsidRDefault="00114E6E" w:rsidP="00AD0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3920A" w14:textId="6CB09BDA" w:rsidR="00695A75" w:rsidRPr="00411F49" w:rsidRDefault="00695A75" w:rsidP="00411F49">
    <w:pPr>
      <w:rPr>
        <w:rFonts w:ascii="Calibri" w:hAnsi="Calibri" w:cs="Calibri"/>
        <w:color w:val="404040"/>
        <w:sz w:val="18"/>
        <w:szCs w:val="18"/>
      </w:rPr>
    </w:pPr>
    <w:r>
      <w:rPr>
        <w:noProof/>
      </w:rPr>
      <w:drawing>
        <wp:anchor distT="0" distB="0" distL="114300" distR="114300" simplePos="0" relativeHeight="251661312" behindDoc="0" locked="0" layoutInCell="1" allowOverlap="1" wp14:anchorId="2AA61633" wp14:editId="3D853DA2">
          <wp:simplePos x="0" y="0"/>
          <wp:positionH relativeFrom="column">
            <wp:posOffset>1718310</wp:posOffset>
          </wp:positionH>
          <wp:positionV relativeFrom="paragraph">
            <wp:posOffset>88265</wp:posOffset>
          </wp:positionV>
          <wp:extent cx="855980" cy="855980"/>
          <wp:effectExtent l="0" t="0" r="127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6D038C4" wp14:editId="2AE9D57B">
          <wp:simplePos x="0" y="0"/>
          <wp:positionH relativeFrom="column">
            <wp:posOffset>882015</wp:posOffset>
          </wp:positionH>
          <wp:positionV relativeFrom="paragraph">
            <wp:posOffset>91440</wp:posOffset>
          </wp:positionV>
          <wp:extent cx="780415" cy="834390"/>
          <wp:effectExtent l="0" t="0" r="635" b="3810"/>
          <wp:wrapSquare wrapText="bothSides"/>
          <wp:docPr id="8" name="Picture 8"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oject Hope Logo4.png"/>
                  <pic:cNvPicPr/>
                </pic:nvPicPr>
                <pic:blipFill>
                  <a:blip r:embed="rId2">
                    <a:extLst>
                      <a:ext uri="{28A0092B-C50C-407E-A947-70E740481C1C}">
                        <a14:useLocalDpi xmlns:a14="http://schemas.microsoft.com/office/drawing/2010/main" val="0"/>
                      </a:ext>
                    </a:extLst>
                  </a:blip>
                  <a:stretch>
                    <a:fillRect/>
                  </a:stretch>
                </pic:blipFill>
                <pic:spPr>
                  <a:xfrm>
                    <a:off x="0" y="0"/>
                    <a:ext cx="780415" cy="8343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C7EBD8E" wp14:editId="06326770">
          <wp:simplePos x="0" y="0"/>
          <wp:positionH relativeFrom="column">
            <wp:posOffset>0</wp:posOffset>
          </wp:positionH>
          <wp:positionV relativeFrom="paragraph">
            <wp:posOffset>91440</wp:posOffset>
          </wp:positionV>
          <wp:extent cx="818515" cy="834390"/>
          <wp:effectExtent l="0" t="0" r="2540" b="7620"/>
          <wp:wrapSquare wrapText="bothSides"/>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umbnail.jpg"/>
                  <pic:cNvPicPr/>
                </pic:nvPicPr>
                <pic:blipFill>
                  <a:blip r:embed="rId3">
                    <a:extLst>
                      <a:ext uri="{28A0092B-C50C-407E-A947-70E740481C1C}">
                        <a14:useLocalDpi xmlns:a14="http://schemas.microsoft.com/office/drawing/2010/main" val="0"/>
                      </a:ext>
                    </a:extLst>
                  </a:blip>
                  <a:stretch>
                    <a:fillRect/>
                  </a:stretch>
                </pic:blipFill>
                <pic:spPr>
                  <a:xfrm>
                    <a:off x="0" y="0"/>
                    <a:ext cx="818515" cy="834390"/>
                  </a:xfrm>
                  <a:prstGeom prst="rect">
                    <a:avLst/>
                  </a:prstGeom>
                </pic:spPr>
              </pic:pic>
            </a:graphicData>
          </a:graphic>
          <wp14:sizeRelH relativeFrom="page">
            <wp14:pctWidth>0</wp14:pctWidth>
          </wp14:sizeRelH>
          <wp14:sizeRelV relativeFrom="page">
            <wp14:pctHeight>0</wp14:pctHeight>
          </wp14:sizeRelV>
        </wp:anchor>
      </w:drawing>
    </w:r>
    <w:r w:rsidRPr="00411F49">
      <w:rPr>
        <w:rFonts w:ascii="Calibri" w:hAnsi="Calibri" w:cs="Calibri"/>
        <w:color w:val="404040"/>
        <w:sz w:val="18"/>
        <w:szCs w:val="18"/>
      </w:rPr>
      <w:t xml:space="preserve">This </w:t>
    </w:r>
    <w:r w:rsidR="00BE77FD">
      <w:rPr>
        <w:rFonts w:ascii="Calibri" w:hAnsi="Calibri" w:cs="Calibri"/>
        <w:color w:val="404040"/>
        <w:sz w:val="18"/>
        <w:szCs w:val="18"/>
      </w:rPr>
      <w:t>event</w:t>
    </w:r>
    <w:r w:rsidRPr="00411F49">
      <w:rPr>
        <w:rFonts w:ascii="Calibri" w:hAnsi="Calibri" w:cs="Calibri"/>
        <w:color w:val="404040"/>
        <w:sz w:val="18"/>
        <w:szCs w:val="18"/>
      </w:rPr>
      <w:t xml:space="preserve"> was supported by Grant Numbers G25RH32484, GA1RH33552, and G26RH40096 from the Health Resources and Services Administration (HRSA), of the U.S. Department of Health and Human Services as part of awards totaling $1,7</w:t>
    </w:r>
    <w:r>
      <w:rPr>
        <w:rFonts w:ascii="Calibri" w:hAnsi="Calibri" w:cs="Calibri"/>
        <w:color w:val="404040"/>
        <w:sz w:val="18"/>
        <w:szCs w:val="18"/>
      </w:rPr>
      <w:t>5</w:t>
    </w:r>
    <w:r w:rsidRPr="00411F49">
      <w:rPr>
        <w:rFonts w:ascii="Calibri" w:hAnsi="Calibri" w:cs="Calibri"/>
        <w:color w:val="404040"/>
        <w:sz w:val="18"/>
        <w:szCs w:val="18"/>
      </w:rPr>
      <w:t>0,000. Its contents are solely the responsibility of the authors and do not necessarily represent the official views of, nor an endorsement by HRSA, HHS, or the U.S. Government.</w:t>
    </w:r>
  </w:p>
  <w:p w14:paraId="5A657877" w14:textId="1F064E32" w:rsidR="00695A75" w:rsidRPr="00477BFB" w:rsidRDefault="00695A75">
    <w:pP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79CD3" w14:textId="77777777" w:rsidR="00114E6E" w:rsidRDefault="00114E6E" w:rsidP="00AD0766">
      <w:pPr>
        <w:spacing w:after="0" w:line="240" w:lineRule="auto"/>
      </w:pPr>
      <w:r>
        <w:separator/>
      </w:r>
    </w:p>
  </w:footnote>
  <w:footnote w:type="continuationSeparator" w:id="0">
    <w:p w14:paraId="13603000" w14:textId="77777777" w:rsidR="00114E6E" w:rsidRDefault="00114E6E" w:rsidP="00AD0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87B9F" w14:textId="05B08E50" w:rsidR="00695A75" w:rsidRDefault="00695A75">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037"/>
    <w:rsid w:val="00034BC6"/>
    <w:rsid w:val="0003505C"/>
    <w:rsid w:val="00035562"/>
    <w:rsid w:val="0004759A"/>
    <w:rsid w:val="000504BD"/>
    <w:rsid w:val="00052524"/>
    <w:rsid w:val="0006668D"/>
    <w:rsid w:val="00066FC5"/>
    <w:rsid w:val="0006767A"/>
    <w:rsid w:val="000729B5"/>
    <w:rsid w:val="00076D18"/>
    <w:rsid w:val="0008274B"/>
    <w:rsid w:val="00083831"/>
    <w:rsid w:val="0009049E"/>
    <w:rsid w:val="00094559"/>
    <w:rsid w:val="000B0485"/>
    <w:rsid w:val="000D62B1"/>
    <w:rsid w:val="000D6635"/>
    <w:rsid w:val="000F25F2"/>
    <w:rsid w:val="000F728E"/>
    <w:rsid w:val="00114E6E"/>
    <w:rsid w:val="001215D6"/>
    <w:rsid w:val="001234FF"/>
    <w:rsid w:val="0012597B"/>
    <w:rsid w:val="00133DE6"/>
    <w:rsid w:val="0014507C"/>
    <w:rsid w:val="001B0D8C"/>
    <w:rsid w:val="001B2680"/>
    <w:rsid w:val="001C242C"/>
    <w:rsid w:val="001C5150"/>
    <w:rsid w:val="00207582"/>
    <w:rsid w:val="0022147E"/>
    <w:rsid w:val="00226825"/>
    <w:rsid w:val="00235496"/>
    <w:rsid w:val="00240BFE"/>
    <w:rsid w:val="002434EC"/>
    <w:rsid w:val="0027219B"/>
    <w:rsid w:val="00283209"/>
    <w:rsid w:val="00297122"/>
    <w:rsid w:val="002B2B0B"/>
    <w:rsid w:val="002B380E"/>
    <w:rsid w:val="002B5A4B"/>
    <w:rsid w:val="002B6BD0"/>
    <w:rsid w:val="002C52AC"/>
    <w:rsid w:val="002D4C05"/>
    <w:rsid w:val="00305D03"/>
    <w:rsid w:val="00313BC7"/>
    <w:rsid w:val="00364A40"/>
    <w:rsid w:val="00366FCF"/>
    <w:rsid w:val="00376C14"/>
    <w:rsid w:val="003848B5"/>
    <w:rsid w:val="00393904"/>
    <w:rsid w:val="003A3190"/>
    <w:rsid w:val="003A55F1"/>
    <w:rsid w:val="003C4B08"/>
    <w:rsid w:val="003C50B1"/>
    <w:rsid w:val="003D2FED"/>
    <w:rsid w:val="003D534E"/>
    <w:rsid w:val="003F32A3"/>
    <w:rsid w:val="00405536"/>
    <w:rsid w:val="00411F49"/>
    <w:rsid w:val="004140BB"/>
    <w:rsid w:val="00415A11"/>
    <w:rsid w:val="004168E0"/>
    <w:rsid w:val="004311C0"/>
    <w:rsid w:val="00460795"/>
    <w:rsid w:val="004768BD"/>
    <w:rsid w:val="00477BFB"/>
    <w:rsid w:val="00493C44"/>
    <w:rsid w:val="004E6CCE"/>
    <w:rsid w:val="00502A9F"/>
    <w:rsid w:val="00527C8C"/>
    <w:rsid w:val="00535C6C"/>
    <w:rsid w:val="00547470"/>
    <w:rsid w:val="00562D0A"/>
    <w:rsid w:val="005A22AD"/>
    <w:rsid w:val="005A76BF"/>
    <w:rsid w:val="005A7BE2"/>
    <w:rsid w:val="005B2B1F"/>
    <w:rsid w:val="005C17A4"/>
    <w:rsid w:val="005D402C"/>
    <w:rsid w:val="005D4806"/>
    <w:rsid w:val="005F1111"/>
    <w:rsid w:val="005F2F47"/>
    <w:rsid w:val="005F4E71"/>
    <w:rsid w:val="00606EC2"/>
    <w:rsid w:val="00621870"/>
    <w:rsid w:val="006707A8"/>
    <w:rsid w:val="00677CF5"/>
    <w:rsid w:val="00686DB4"/>
    <w:rsid w:val="00691505"/>
    <w:rsid w:val="00695A75"/>
    <w:rsid w:val="006A2098"/>
    <w:rsid w:val="006A2B30"/>
    <w:rsid w:val="006B6578"/>
    <w:rsid w:val="006B7831"/>
    <w:rsid w:val="006D2343"/>
    <w:rsid w:val="006E4095"/>
    <w:rsid w:val="0072273E"/>
    <w:rsid w:val="007253CE"/>
    <w:rsid w:val="00732429"/>
    <w:rsid w:val="00737BC9"/>
    <w:rsid w:val="007412E6"/>
    <w:rsid w:val="00763CA0"/>
    <w:rsid w:val="00772A22"/>
    <w:rsid w:val="007A3181"/>
    <w:rsid w:val="007A414A"/>
    <w:rsid w:val="007A43BD"/>
    <w:rsid w:val="007A569C"/>
    <w:rsid w:val="007B5F76"/>
    <w:rsid w:val="007B6CEF"/>
    <w:rsid w:val="007C3C45"/>
    <w:rsid w:val="007C7F0D"/>
    <w:rsid w:val="007E7A6F"/>
    <w:rsid w:val="00802038"/>
    <w:rsid w:val="0080304E"/>
    <w:rsid w:val="00811A30"/>
    <w:rsid w:val="00811B55"/>
    <w:rsid w:val="00817912"/>
    <w:rsid w:val="008212C8"/>
    <w:rsid w:val="00823506"/>
    <w:rsid w:val="0082675D"/>
    <w:rsid w:val="00833DFD"/>
    <w:rsid w:val="008447B4"/>
    <w:rsid w:val="00847E1B"/>
    <w:rsid w:val="00863D62"/>
    <w:rsid w:val="008705CF"/>
    <w:rsid w:val="008705D3"/>
    <w:rsid w:val="008B3516"/>
    <w:rsid w:val="008B7712"/>
    <w:rsid w:val="008C3D69"/>
    <w:rsid w:val="008C619A"/>
    <w:rsid w:val="008D7B51"/>
    <w:rsid w:val="008E0FDD"/>
    <w:rsid w:val="008F02E2"/>
    <w:rsid w:val="008F1574"/>
    <w:rsid w:val="008F6553"/>
    <w:rsid w:val="00901C1A"/>
    <w:rsid w:val="00917409"/>
    <w:rsid w:val="00926F41"/>
    <w:rsid w:val="00952277"/>
    <w:rsid w:val="00984037"/>
    <w:rsid w:val="009851B1"/>
    <w:rsid w:val="00997E59"/>
    <w:rsid w:val="009A054E"/>
    <w:rsid w:val="009A3349"/>
    <w:rsid w:val="009B23A2"/>
    <w:rsid w:val="009C22AB"/>
    <w:rsid w:val="009C7471"/>
    <w:rsid w:val="009D1E5E"/>
    <w:rsid w:val="009D2593"/>
    <w:rsid w:val="009D748D"/>
    <w:rsid w:val="009F0B06"/>
    <w:rsid w:val="00A37C7F"/>
    <w:rsid w:val="00A60B88"/>
    <w:rsid w:val="00A66251"/>
    <w:rsid w:val="00A71EB0"/>
    <w:rsid w:val="00A7703A"/>
    <w:rsid w:val="00A83BEF"/>
    <w:rsid w:val="00A849E4"/>
    <w:rsid w:val="00A854BD"/>
    <w:rsid w:val="00A9322A"/>
    <w:rsid w:val="00A93DF2"/>
    <w:rsid w:val="00AA1FAB"/>
    <w:rsid w:val="00AC210F"/>
    <w:rsid w:val="00AC3264"/>
    <w:rsid w:val="00AC3C4E"/>
    <w:rsid w:val="00AC5616"/>
    <w:rsid w:val="00AD0766"/>
    <w:rsid w:val="00AD14BD"/>
    <w:rsid w:val="00AE5D7E"/>
    <w:rsid w:val="00AF1776"/>
    <w:rsid w:val="00AF26EC"/>
    <w:rsid w:val="00B24A66"/>
    <w:rsid w:val="00B2568C"/>
    <w:rsid w:val="00B26C44"/>
    <w:rsid w:val="00B30EE5"/>
    <w:rsid w:val="00B31E42"/>
    <w:rsid w:val="00B342AD"/>
    <w:rsid w:val="00B35F58"/>
    <w:rsid w:val="00B47225"/>
    <w:rsid w:val="00B56876"/>
    <w:rsid w:val="00B57F9D"/>
    <w:rsid w:val="00B72708"/>
    <w:rsid w:val="00B74178"/>
    <w:rsid w:val="00B94C17"/>
    <w:rsid w:val="00BA36CE"/>
    <w:rsid w:val="00BA3D0A"/>
    <w:rsid w:val="00BB2709"/>
    <w:rsid w:val="00BB3837"/>
    <w:rsid w:val="00BB498C"/>
    <w:rsid w:val="00BB574D"/>
    <w:rsid w:val="00BD2910"/>
    <w:rsid w:val="00BD5413"/>
    <w:rsid w:val="00BD599C"/>
    <w:rsid w:val="00BE77FD"/>
    <w:rsid w:val="00BE7E17"/>
    <w:rsid w:val="00BF7C83"/>
    <w:rsid w:val="00C004D2"/>
    <w:rsid w:val="00C27EE7"/>
    <w:rsid w:val="00C41A5D"/>
    <w:rsid w:val="00C441E1"/>
    <w:rsid w:val="00C4585D"/>
    <w:rsid w:val="00C532FB"/>
    <w:rsid w:val="00C552C7"/>
    <w:rsid w:val="00C87DEA"/>
    <w:rsid w:val="00C9195E"/>
    <w:rsid w:val="00C95E6D"/>
    <w:rsid w:val="00CA2106"/>
    <w:rsid w:val="00CB7C7E"/>
    <w:rsid w:val="00CC3893"/>
    <w:rsid w:val="00CC44ED"/>
    <w:rsid w:val="00CC7E9E"/>
    <w:rsid w:val="00CE07BA"/>
    <w:rsid w:val="00CE1892"/>
    <w:rsid w:val="00CE476F"/>
    <w:rsid w:val="00CE7D06"/>
    <w:rsid w:val="00CF2DC6"/>
    <w:rsid w:val="00CF76F9"/>
    <w:rsid w:val="00D13CB0"/>
    <w:rsid w:val="00D15097"/>
    <w:rsid w:val="00D35B48"/>
    <w:rsid w:val="00D37275"/>
    <w:rsid w:val="00D479C4"/>
    <w:rsid w:val="00D47D39"/>
    <w:rsid w:val="00D71F7B"/>
    <w:rsid w:val="00D80ED7"/>
    <w:rsid w:val="00D85FD0"/>
    <w:rsid w:val="00DA11E7"/>
    <w:rsid w:val="00DD2005"/>
    <w:rsid w:val="00E17F4A"/>
    <w:rsid w:val="00E37AAF"/>
    <w:rsid w:val="00E5166A"/>
    <w:rsid w:val="00E66071"/>
    <w:rsid w:val="00E66149"/>
    <w:rsid w:val="00E6787C"/>
    <w:rsid w:val="00E732C3"/>
    <w:rsid w:val="00E7606F"/>
    <w:rsid w:val="00E84CFB"/>
    <w:rsid w:val="00E879AF"/>
    <w:rsid w:val="00EB1EC2"/>
    <w:rsid w:val="00ED3074"/>
    <w:rsid w:val="00ED6B97"/>
    <w:rsid w:val="00EE6948"/>
    <w:rsid w:val="00EF4813"/>
    <w:rsid w:val="00F059FC"/>
    <w:rsid w:val="00F13064"/>
    <w:rsid w:val="00F1372F"/>
    <w:rsid w:val="00F178FD"/>
    <w:rsid w:val="00F33031"/>
    <w:rsid w:val="00F63272"/>
    <w:rsid w:val="00F64BE1"/>
    <w:rsid w:val="00F7469F"/>
    <w:rsid w:val="00F755F0"/>
    <w:rsid w:val="00F77254"/>
    <w:rsid w:val="00F867A7"/>
    <w:rsid w:val="00F8726A"/>
    <w:rsid w:val="00F9237A"/>
    <w:rsid w:val="00FA0E01"/>
    <w:rsid w:val="00FC7838"/>
    <w:rsid w:val="00FF4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2B264"/>
  <w15:chartTrackingRefBased/>
  <w15:docId w15:val="{9D7904A2-6CA7-4585-8114-16B14CD5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40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4037"/>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840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403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84037"/>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13064"/>
    <w:rPr>
      <w:sz w:val="16"/>
      <w:szCs w:val="16"/>
    </w:rPr>
  </w:style>
  <w:style w:type="paragraph" w:styleId="CommentText">
    <w:name w:val="annotation text"/>
    <w:basedOn w:val="Normal"/>
    <w:link w:val="CommentTextChar"/>
    <w:uiPriority w:val="99"/>
    <w:semiHidden/>
    <w:unhideWhenUsed/>
    <w:rsid w:val="00F13064"/>
    <w:pPr>
      <w:spacing w:line="240" w:lineRule="auto"/>
    </w:pPr>
    <w:rPr>
      <w:sz w:val="20"/>
      <w:szCs w:val="20"/>
    </w:rPr>
  </w:style>
  <w:style w:type="character" w:customStyle="1" w:styleId="CommentTextChar">
    <w:name w:val="Comment Text Char"/>
    <w:basedOn w:val="DefaultParagraphFont"/>
    <w:link w:val="CommentText"/>
    <w:uiPriority w:val="99"/>
    <w:semiHidden/>
    <w:rsid w:val="00F13064"/>
    <w:rPr>
      <w:sz w:val="20"/>
      <w:szCs w:val="20"/>
    </w:rPr>
  </w:style>
  <w:style w:type="paragraph" w:styleId="CommentSubject">
    <w:name w:val="annotation subject"/>
    <w:basedOn w:val="CommentText"/>
    <w:next w:val="CommentText"/>
    <w:link w:val="CommentSubjectChar"/>
    <w:uiPriority w:val="99"/>
    <w:semiHidden/>
    <w:unhideWhenUsed/>
    <w:rsid w:val="00F13064"/>
    <w:rPr>
      <w:b/>
      <w:bCs/>
    </w:rPr>
  </w:style>
  <w:style w:type="character" w:customStyle="1" w:styleId="CommentSubjectChar">
    <w:name w:val="Comment Subject Char"/>
    <w:basedOn w:val="CommentTextChar"/>
    <w:link w:val="CommentSubject"/>
    <w:uiPriority w:val="99"/>
    <w:semiHidden/>
    <w:rsid w:val="00F13064"/>
    <w:rPr>
      <w:b/>
      <w:bCs/>
      <w:sz w:val="20"/>
      <w:szCs w:val="20"/>
    </w:rPr>
  </w:style>
  <w:style w:type="paragraph" w:styleId="BalloonText">
    <w:name w:val="Balloon Text"/>
    <w:basedOn w:val="Normal"/>
    <w:link w:val="BalloonTextChar"/>
    <w:uiPriority w:val="99"/>
    <w:semiHidden/>
    <w:unhideWhenUsed/>
    <w:rsid w:val="00F13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064"/>
    <w:rPr>
      <w:rFonts w:ascii="Segoe UI" w:hAnsi="Segoe UI" w:cs="Segoe UI"/>
      <w:sz w:val="18"/>
      <w:szCs w:val="18"/>
    </w:rPr>
  </w:style>
  <w:style w:type="paragraph" w:styleId="Header">
    <w:name w:val="header"/>
    <w:basedOn w:val="Normal"/>
    <w:link w:val="HeaderChar"/>
    <w:uiPriority w:val="99"/>
    <w:unhideWhenUsed/>
    <w:rsid w:val="00AD0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766"/>
  </w:style>
  <w:style w:type="paragraph" w:styleId="Footer">
    <w:name w:val="footer"/>
    <w:basedOn w:val="Normal"/>
    <w:link w:val="FooterChar"/>
    <w:uiPriority w:val="99"/>
    <w:unhideWhenUsed/>
    <w:rsid w:val="00AD0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766"/>
  </w:style>
  <w:style w:type="table" w:styleId="TableGrid">
    <w:name w:val="Table Grid"/>
    <w:basedOn w:val="TableNormal"/>
    <w:uiPriority w:val="39"/>
    <w:rsid w:val="00B72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B7270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B7270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197194">
      <w:bodyDiv w:val="1"/>
      <w:marLeft w:val="0"/>
      <w:marRight w:val="0"/>
      <w:marTop w:val="0"/>
      <w:marBottom w:val="0"/>
      <w:divBdr>
        <w:top w:val="none" w:sz="0" w:space="0" w:color="auto"/>
        <w:left w:val="none" w:sz="0" w:space="0" w:color="auto"/>
        <w:bottom w:val="none" w:sz="0" w:space="0" w:color="auto"/>
        <w:right w:val="none" w:sz="0" w:space="0" w:color="auto"/>
      </w:divBdr>
    </w:div>
    <w:div w:id="204952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Ashlyn Schwartz</dc:creator>
  <cp:keywords/>
  <dc:description/>
  <cp:lastModifiedBy>Zhang, Xiangjun</cp:lastModifiedBy>
  <cp:revision>2</cp:revision>
  <dcterms:created xsi:type="dcterms:W3CDTF">2022-02-05T08:45:00Z</dcterms:created>
  <dcterms:modified xsi:type="dcterms:W3CDTF">2022-02-05T08:45:00Z</dcterms:modified>
</cp:coreProperties>
</file>